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ascii="黑体" w:hAnsi="黑体" w:eastAsia="黑体" w:cs="黑体"/>
          <w:b/>
          <w:sz w:val="52"/>
          <w:szCs w:val="52"/>
          <w:lang w:val="en-US"/>
        </w:rPr>
      </w:pPr>
    </w:p>
    <w:p>
      <w:pPr>
        <w:pStyle w:val="6"/>
        <w:jc w:val="center"/>
        <w:rPr>
          <w:rFonts w:ascii="黑体" w:hAnsi="黑体" w:eastAsia="黑体" w:cs="黑体"/>
          <w:b/>
          <w:sz w:val="52"/>
          <w:szCs w:val="52"/>
          <w:lang w:val="en-US"/>
        </w:rPr>
      </w:pPr>
    </w:p>
    <w:p>
      <w:pPr>
        <w:pStyle w:val="6"/>
        <w:jc w:val="center"/>
        <w:rPr>
          <w:rFonts w:hint="eastAsia" w:asciiTheme="minorEastAsia" w:hAnsiTheme="minorEastAsia" w:eastAsiaTheme="minorEastAsia" w:cstheme="minorEastAsia"/>
          <w:b/>
          <w:bCs w:val="0"/>
          <w:sz w:val="52"/>
          <w:szCs w:val="52"/>
          <w:lang w:val="en-US"/>
        </w:rPr>
      </w:pPr>
      <w:r>
        <w:rPr>
          <w:rFonts w:hint="eastAsia" w:asciiTheme="minorEastAsia" w:hAnsiTheme="minorEastAsia" w:eastAsiaTheme="minorEastAsia" w:cstheme="minorEastAsia"/>
          <w:b/>
          <w:bCs w:val="0"/>
          <w:sz w:val="52"/>
          <w:szCs w:val="52"/>
          <w:lang w:val="en-US"/>
        </w:rPr>
        <w:t>内蒙古乌海市万晨能源煤炭有限责任</w:t>
      </w:r>
    </w:p>
    <w:p>
      <w:pPr>
        <w:pStyle w:val="6"/>
        <w:jc w:val="center"/>
        <w:rPr>
          <w:rFonts w:hint="eastAsia" w:asciiTheme="minorEastAsia" w:hAnsiTheme="minorEastAsia" w:eastAsiaTheme="minorEastAsia" w:cstheme="minorEastAsia"/>
          <w:b/>
          <w:bCs w:val="0"/>
          <w:sz w:val="52"/>
          <w:szCs w:val="52"/>
          <w:lang w:val="en-US"/>
        </w:rPr>
      </w:pPr>
      <w:r>
        <w:rPr>
          <w:rFonts w:hint="eastAsia" w:asciiTheme="minorEastAsia" w:hAnsiTheme="minorEastAsia" w:eastAsiaTheme="minorEastAsia" w:cstheme="minorEastAsia"/>
          <w:b/>
          <w:bCs w:val="0"/>
          <w:sz w:val="52"/>
          <w:szCs w:val="52"/>
          <w:lang w:val="en-US"/>
        </w:rPr>
        <w:t>公司龙贵煤矿2021年度矿山地质</w:t>
      </w:r>
    </w:p>
    <w:p>
      <w:pPr>
        <w:pStyle w:val="6"/>
        <w:jc w:val="center"/>
        <w:rPr>
          <w:rFonts w:hint="eastAsia" w:asciiTheme="minorEastAsia" w:hAnsiTheme="minorEastAsia" w:eastAsiaTheme="minorEastAsia" w:cstheme="minorEastAsia"/>
          <w:b/>
          <w:bCs w:val="0"/>
          <w:sz w:val="52"/>
          <w:szCs w:val="52"/>
          <w:lang w:val="en-US"/>
        </w:rPr>
      </w:pPr>
      <w:r>
        <w:rPr>
          <w:rFonts w:hint="eastAsia" w:asciiTheme="minorEastAsia" w:hAnsiTheme="minorEastAsia" w:eastAsiaTheme="minorEastAsia" w:cstheme="minorEastAsia"/>
          <w:b/>
          <w:bCs w:val="0"/>
          <w:sz w:val="52"/>
          <w:szCs w:val="52"/>
          <w:lang w:val="en-US"/>
        </w:rPr>
        <w:t>环境治理计划书</w:t>
      </w: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pStyle w:val="6"/>
        <w:jc w:val="center"/>
        <w:rPr>
          <w:rFonts w:hint="eastAsia" w:asciiTheme="minorEastAsia" w:hAnsiTheme="minorEastAsia" w:eastAsiaTheme="minorEastAsia" w:cstheme="minorEastAsia"/>
          <w:b/>
          <w:bCs w:val="0"/>
          <w:sz w:val="36"/>
        </w:rPr>
      </w:pPr>
    </w:p>
    <w:p>
      <w:pPr>
        <w:spacing w:line="338" w:lineRule="auto"/>
        <w:ind w:left="0" w:leftChars="0" w:right="120" w:rightChars="0" w:firstLine="1545" w:firstLineChars="481"/>
        <w:jc w:val="left"/>
        <w:rPr>
          <w:rFonts w:hint="eastAsia" w:asciiTheme="minorEastAsia" w:hAnsiTheme="minorEastAsia" w:eastAsiaTheme="minorEastAsia" w:cstheme="minorEastAsia"/>
          <w:b/>
          <w:bCs w:val="0"/>
          <w:sz w:val="32"/>
          <w:szCs w:val="32"/>
        </w:rPr>
      </w:pPr>
      <w:r>
        <w:rPr>
          <w:rFonts w:hint="eastAsia" w:asciiTheme="minorEastAsia" w:hAnsiTheme="minorEastAsia" w:eastAsiaTheme="minorEastAsia" w:cstheme="minorEastAsia"/>
          <w:b/>
          <w:bCs w:val="0"/>
          <w:sz w:val="32"/>
          <w:szCs w:val="32"/>
        </w:rPr>
        <w:t>编制单位</w:t>
      </w:r>
      <w:r>
        <w:rPr>
          <w:rFonts w:hint="eastAsia" w:asciiTheme="minorEastAsia" w:hAnsiTheme="minorEastAsia" w:eastAsiaTheme="minorEastAsia" w:cstheme="minorEastAsia"/>
          <w:b/>
          <w:bCs w:val="0"/>
          <w:sz w:val="32"/>
          <w:szCs w:val="32"/>
          <w:lang w:eastAsia="zh-CN"/>
        </w:rPr>
        <w:t>：</w:t>
      </w:r>
      <w:r>
        <w:rPr>
          <w:rFonts w:hint="eastAsia" w:asciiTheme="minorEastAsia" w:hAnsiTheme="minorEastAsia" w:eastAsiaTheme="minorEastAsia" w:cstheme="minorEastAsia"/>
          <w:b/>
          <w:bCs w:val="0"/>
          <w:sz w:val="32"/>
          <w:szCs w:val="32"/>
        </w:rPr>
        <w:t>乌海市万晨能源煤炭有限责任公司</w:t>
      </w:r>
    </w:p>
    <w:p>
      <w:pPr>
        <w:spacing w:line="338" w:lineRule="auto"/>
        <w:ind w:left="0" w:leftChars="0" w:right="120" w:rightChars="0" w:firstLine="1545" w:firstLineChars="481"/>
        <w:jc w:val="left"/>
        <w:rPr>
          <w:rFonts w:hint="eastAsia" w:asciiTheme="minorEastAsia" w:hAnsiTheme="minorEastAsia" w:eastAsiaTheme="minorEastAsia" w:cstheme="minorEastAsia"/>
          <w:b/>
          <w:bCs w:val="0"/>
          <w:sz w:val="32"/>
          <w:szCs w:val="32"/>
        </w:rPr>
        <w:sectPr>
          <w:headerReference r:id="rId3" w:type="default"/>
          <w:pgSz w:w="11900" w:h="16840"/>
          <w:pgMar w:top="1600" w:right="860" w:bottom="280" w:left="1240" w:header="720" w:footer="720" w:gutter="0"/>
          <w:pgNumType w:start="0"/>
          <w:cols w:space="720" w:num="1"/>
          <w:titlePg/>
        </w:sectPr>
      </w:pPr>
      <w:r>
        <w:rPr>
          <w:rFonts w:hint="eastAsia" w:asciiTheme="minorEastAsia" w:hAnsiTheme="minorEastAsia" w:eastAsiaTheme="minorEastAsia" w:cstheme="minorEastAsia"/>
          <w:b/>
          <w:bCs w:val="0"/>
          <w:sz w:val="32"/>
          <w:szCs w:val="32"/>
        </w:rPr>
        <w:t>编制时间：202</w:t>
      </w:r>
      <w:r>
        <w:rPr>
          <w:rFonts w:hint="eastAsia" w:asciiTheme="minorEastAsia" w:hAnsiTheme="minorEastAsia" w:eastAsiaTheme="minorEastAsia" w:cstheme="minorEastAsia"/>
          <w:b/>
          <w:bCs w:val="0"/>
          <w:sz w:val="32"/>
          <w:szCs w:val="32"/>
          <w:lang w:val="en-US"/>
        </w:rPr>
        <w:t>1</w:t>
      </w:r>
      <w:r>
        <w:rPr>
          <w:rFonts w:hint="eastAsia" w:asciiTheme="minorEastAsia" w:hAnsiTheme="minorEastAsia" w:eastAsiaTheme="minorEastAsia" w:cstheme="minorEastAsia"/>
          <w:b/>
          <w:bCs w:val="0"/>
          <w:sz w:val="32"/>
          <w:szCs w:val="32"/>
        </w:rPr>
        <w:t>年</w:t>
      </w:r>
      <w:r>
        <w:rPr>
          <w:rFonts w:hint="eastAsia" w:asciiTheme="minorEastAsia" w:hAnsiTheme="minorEastAsia" w:eastAsiaTheme="minorEastAsia" w:cstheme="minorEastAsia"/>
          <w:b/>
          <w:bCs w:val="0"/>
          <w:sz w:val="32"/>
          <w:szCs w:val="32"/>
          <w:lang w:val="en-US"/>
        </w:rPr>
        <w:t>3</w:t>
      </w:r>
      <w:r>
        <w:rPr>
          <w:rFonts w:hint="eastAsia" w:asciiTheme="minorEastAsia" w:hAnsiTheme="minorEastAsia" w:eastAsiaTheme="minorEastAsia" w:cstheme="minorEastAsia"/>
          <w:b/>
          <w:bCs w:val="0"/>
          <w:sz w:val="32"/>
          <w:szCs w:val="32"/>
        </w:rPr>
        <w:t>月</w:t>
      </w:r>
      <w:r>
        <w:rPr>
          <w:rFonts w:hint="eastAsia" w:asciiTheme="minorEastAsia" w:hAnsiTheme="minorEastAsia" w:eastAsiaTheme="minorEastAsia" w:cstheme="minorEastAsia"/>
          <w:b/>
          <w:bCs w:val="0"/>
          <w:sz w:val="32"/>
          <w:szCs w:val="32"/>
          <w:lang w:val="en-US"/>
        </w:rPr>
        <w:t>26</w:t>
      </w:r>
      <w:r>
        <w:rPr>
          <w:rFonts w:hint="eastAsia" w:asciiTheme="minorEastAsia" w:hAnsiTheme="minorEastAsia" w:eastAsiaTheme="minorEastAsia" w:cstheme="minorEastAsia"/>
          <w:b/>
          <w:bCs w:val="0"/>
          <w:sz w:val="32"/>
          <w:szCs w:val="32"/>
        </w:rPr>
        <w:t>日</w:t>
      </w:r>
    </w:p>
    <w:sdt>
      <w:sdtPr>
        <w:rPr>
          <w:rFonts w:ascii="宋体" w:hAnsi="宋体" w:eastAsia="宋体" w:cs="宋体"/>
          <w:b/>
          <w:bCs/>
          <w:sz w:val="44"/>
          <w:szCs w:val="44"/>
          <w:lang w:val="zh-CN" w:eastAsia="zh-CN" w:bidi="zh-CN"/>
        </w:rPr>
        <w:id w:val="147471462"/>
        <w15:color w:val="DBDBDB"/>
        <w:docPartObj>
          <w:docPartGallery w:val="Table of Contents"/>
          <w:docPartUnique/>
        </w:docPartObj>
      </w:sdtPr>
      <w:sdtEndPr>
        <w:rPr>
          <w:rFonts w:ascii="微软雅黑" w:hAnsi="宋体" w:eastAsia="微软雅黑" w:cs="宋体"/>
          <w:b/>
          <w:bCs/>
          <w:sz w:val="22"/>
          <w:szCs w:val="22"/>
          <w:lang w:val="en-US" w:eastAsia="zh-CN" w:bidi="zh-CN"/>
        </w:rPr>
      </w:sdtEndPr>
      <w:sdtContent>
        <w:p>
          <w:pPr>
            <w:spacing w:before="0" w:beforeLines="0" w:after="0" w:afterLines="0" w:line="240" w:lineRule="auto"/>
            <w:ind w:left="0" w:leftChars="0" w:right="0" w:rightChars="0" w:firstLine="0" w:firstLineChars="0"/>
            <w:jc w:val="center"/>
            <w:rPr>
              <w:rFonts w:ascii="宋体" w:hAnsi="宋体" w:eastAsia="宋体"/>
              <w:b/>
              <w:bCs/>
              <w:sz w:val="44"/>
              <w:szCs w:val="44"/>
            </w:rPr>
          </w:pPr>
          <w:r>
            <w:rPr>
              <w:rFonts w:ascii="宋体" w:hAnsi="宋体" w:eastAsia="宋体"/>
              <w:b/>
              <w:bCs/>
              <w:sz w:val="44"/>
              <w:szCs w:val="44"/>
            </w:rPr>
            <w:t>目</w:t>
          </w:r>
          <w:r>
            <w:rPr>
              <w:rFonts w:hint="eastAsia"/>
              <w:b/>
              <w:bCs/>
              <w:sz w:val="44"/>
              <w:szCs w:val="44"/>
              <w:lang w:val="en-US" w:eastAsia="zh-CN"/>
            </w:rPr>
            <w:t xml:space="preserve">  </w:t>
          </w:r>
          <w:r>
            <w:rPr>
              <w:rFonts w:ascii="宋体" w:hAnsi="宋体" w:eastAsia="宋体"/>
              <w:b/>
              <w:bCs/>
              <w:sz w:val="44"/>
              <w:szCs w:val="44"/>
            </w:rPr>
            <w:t>录</w:t>
          </w:r>
        </w:p>
        <w:p>
          <w:pPr>
            <w:spacing w:before="0" w:beforeLines="0" w:after="0" w:afterLines="0" w:line="240" w:lineRule="auto"/>
            <w:ind w:left="0" w:leftChars="0" w:right="0" w:rightChars="0" w:firstLine="0" w:firstLineChars="0"/>
            <w:jc w:val="center"/>
            <w:rPr>
              <w:rFonts w:ascii="宋体" w:hAnsi="宋体" w:eastAsia="宋体"/>
              <w:b/>
              <w:bCs/>
              <w:sz w:val="44"/>
              <w:szCs w:val="44"/>
            </w:rPr>
          </w:pPr>
        </w:p>
        <w:p>
          <w:pPr>
            <w:pStyle w:val="25"/>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b/>
              <w:sz w:val="30"/>
              <w:szCs w:val="30"/>
            </w:rPr>
          </w:pP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TOC \o "1-2" \h \u </w:instrText>
          </w:r>
          <w:r>
            <w:rPr>
              <w:rFonts w:hint="eastAsia" w:ascii="宋体" w:hAnsi="宋体" w:eastAsia="宋体" w:cs="宋体"/>
              <w:b/>
              <w:sz w:val="30"/>
              <w:szCs w:val="30"/>
              <w:lang w:val="en-US"/>
            </w:rPr>
            <w:fldChar w:fldCharType="separate"/>
          </w: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 HYPERLINK \l _Toc5288 </w:instrText>
          </w:r>
          <w:r>
            <w:rPr>
              <w:rFonts w:hint="eastAsia" w:ascii="宋体" w:hAnsi="宋体" w:eastAsia="宋体" w:cs="宋体"/>
              <w:b/>
              <w:sz w:val="30"/>
              <w:szCs w:val="30"/>
              <w:lang w:val="en-US"/>
            </w:rPr>
            <w:fldChar w:fldCharType="separate"/>
          </w:r>
          <w:r>
            <w:rPr>
              <w:rFonts w:hint="eastAsia" w:ascii="宋体" w:hAnsi="宋体" w:eastAsia="宋体" w:cs="宋体"/>
              <w:b/>
              <w:kern w:val="44"/>
              <w:sz w:val="30"/>
              <w:szCs w:val="30"/>
            </w:rPr>
            <w:t>第一章  矿山基本情况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_Toc5288 </w:instrText>
          </w:r>
          <w:r>
            <w:rPr>
              <w:rFonts w:hint="eastAsia" w:ascii="宋体" w:hAnsi="宋体" w:eastAsia="宋体" w:cs="宋体"/>
              <w:b/>
              <w:sz w:val="30"/>
              <w:szCs w:val="30"/>
            </w:rPr>
            <w:fldChar w:fldCharType="separate"/>
          </w:r>
          <w:r>
            <w:rPr>
              <w:rFonts w:hint="eastAsia" w:ascii="宋体" w:hAnsi="宋体" w:eastAsia="宋体" w:cs="宋体"/>
              <w:b/>
              <w:sz w:val="30"/>
              <w:szCs w:val="30"/>
            </w:rPr>
            <w:t>2</w:t>
          </w:r>
          <w:r>
            <w:rPr>
              <w:rFonts w:hint="eastAsia" w:ascii="宋体" w:hAnsi="宋体" w:eastAsia="宋体" w:cs="宋体"/>
              <w:b/>
              <w:sz w:val="30"/>
              <w:szCs w:val="30"/>
            </w:rPr>
            <w:fldChar w:fldCharType="end"/>
          </w:r>
          <w:r>
            <w:rPr>
              <w:rFonts w:hint="eastAsia" w:ascii="宋体" w:hAnsi="宋体" w:eastAsia="宋体" w:cs="宋体"/>
              <w:b/>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_Toc29350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 xml:space="preserve">第一节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矿区自然地理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_Toc29350 </w:instrText>
          </w:r>
          <w:r>
            <w:rPr>
              <w:rFonts w:hint="eastAsia" w:ascii="宋体" w:hAnsi="宋体" w:eastAsia="宋体" w:cs="宋体"/>
              <w:sz w:val="30"/>
              <w:szCs w:val="30"/>
            </w:rPr>
            <w:fldChar w:fldCharType="separate"/>
          </w:r>
          <w:r>
            <w:rPr>
              <w:rFonts w:hint="eastAsia" w:ascii="宋体" w:hAnsi="宋体" w:eastAsia="宋体" w:cs="宋体"/>
              <w:sz w:val="30"/>
              <w:szCs w:val="30"/>
            </w:rPr>
            <w:t>2</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_Toc21488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 xml:space="preserve">第二节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矿区地质条件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_Toc21488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_Toc28083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第三节</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矿山概况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_Toc28083 </w:instrText>
          </w:r>
          <w:r>
            <w:rPr>
              <w:rFonts w:hint="eastAsia" w:ascii="宋体" w:hAnsi="宋体" w:eastAsia="宋体" w:cs="宋体"/>
              <w:sz w:val="30"/>
              <w:szCs w:val="30"/>
            </w:rPr>
            <w:fldChar w:fldCharType="separate"/>
          </w:r>
          <w:r>
            <w:rPr>
              <w:rFonts w:hint="eastAsia" w:ascii="宋体" w:hAnsi="宋体" w:eastAsia="宋体" w:cs="宋体"/>
              <w:sz w:val="30"/>
              <w:szCs w:val="30"/>
            </w:rPr>
            <w:t>13</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_Toc6455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 xml:space="preserve">第四节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矿山开发方案概述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_Toc6455 </w:instrText>
          </w:r>
          <w:r>
            <w:rPr>
              <w:rFonts w:hint="eastAsia" w:ascii="宋体" w:hAnsi="宋体" w:eastAsia="宋体" w:cs="宋体"/>
              <w:sz w:val="30"/>
              <w:szCs w:val="30"/>
            </w:rPr>
            <w:fldChar w:fldCharType="separate"/>
          </w:r>
          <w:r>
            <w:rPr>
              <w:rFonts w:hint="eastAsia" w:ascii="宋体" w:hAnsi="宋体" w:eastAsia="宋体" w:cs="宋体"/>
              <w:sz w:val="30"/>
              <w:szCs w:val="30"/>
            </w:rPr>
            <w:t>14</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5"/>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b/>
              <w:sz w:val="30"/>
              <w:szCs w:val="30"/>
            </w:rPr>
          </w:pP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 HYPERLINK \l _Toc22322 </w:instrText>
          </w:r>
          <w:r>
            <w:rPr>
              <w:rFonts w:hint="eastAsia" w:ascii="宋体" w:hAnsi="宋体" w:eastAsia="宋体" w:cs="宋体"/>
              <w:b/>
              <w:sz w:val="30"/>
              <w:szCs w:val="30"/>
              <w:lang w:val="en-US"/>
            </w:rPr>
            <w:fldChar w:fldCharType="separate"/>
          </w:r>
          <w:r>
            <w:rPr>
              <w:rFonts w:hint="eastAsia" w:ascii="宋体" w:hAnsi="宋体" w:eastAsia="宋体" w:cs="宋体"/>
              <w:b/>
              <w:kern w:val="44"/>
              <w:sz w:val="30"/>
              <w:szCs w:val="30"/>
            </w:rPr>
            <w:t>第二章  矿山环境影响评估</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_Toc22322 </w:instrText>
          </w:r>
          <w:r>
            <w:rPr>
              <w:rFonts w:hint="eastAsia" w:ascii="宋体" w:hAnsi="宋体" w:eastAsia="宋体" w:cs="宋体"/>
              <w:b/>
              <w:sz w:val="30"/>
              <w:szCs w:val="30"/>
            </w:rPr>
            <w:fldChar w:fldCharType="separate"/>
          </w:r>
          <w:r>
            <w:rPr>
              <w:rFonts w:hint="eastAsia" w:ascii="宋体" w:hAnsi="宋体" w:eastAsia="宋体" w:cs="宋体"/>
              <w:b/>
              <w:sz w:val="30"/>
              <w:szCs w:val="30"/>
            </w:rPr>
            <w:t>18</w:t>
          </w:r>
          <w:r>
            <w:rPr>
              <w:rFonts w:hint="eastAsia" w:ascii="宋体" w:hAnsi="宋体" w:eastAsia="宋体" w:cs="宋体"/>
              <w:b/>
              <w:sz w:val="30"/>
              <w:szCs w:val="30"/>
            </w:rPr>
            <w:fldChar w:fldCharType="end"/>
          </w:r>
          <w:r>
            <w:rPr>
              <w:rFonts w:hint="eastAsia" w:ascii="宋体" w:hAnsi="宋体" w:eastAsia="宋体" w:cs="宋体"/>
              <w:b/>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_Toc6877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 xml:space="preserve">第一节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评估级别的确定</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_Toc6877 </w:instrText>
          </w:r>
          <w:r>
            <w:rPr>
              <w:rFonts w:hint="eastAsia" w:ascii="宋体" w:hAnsi="宋体" w:eastAsia="宋体" w:cs="宋体"/>
              <w:sz w:val="30"/>
              <w:szCs w:val="30"/>
            </w:rPr>
            <w:fldChar w:fldCharType="separate"/>
          </w:r>
          <w:r>
            <w:rPr>
              <w:rFonts w:hint="eastAsia" w:ascii="宋体" w:hAnsi="宋体" w:eastAsia="宋体" w:cs="宋体"/>
              <w:sz w:val="30"/>
              <w:szCs w:val="30"/>
            </w:rPr>
            <w:t>18</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_Toc22899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 xml:space="preserve">第二节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可能引发的矿山环境问题分析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_Toc22899 </w:instrText>
          </w:r>
          <w:r>
            <w:rPr>
              <w:rFonts w:hint="eastAsia" w:ascii="宋体" w:hAnsi="宋体" w:eastAsia="宋体" w:cs="宋体"/>
              <w:sz w:val="30"/>
              <w:szCs w:val="30"/>
            </w:rPr>
            <w:fldChar w:fldCharType="separate"/>
          </w:r>
          <w:r>
            <w:rPr>
              <w:rFonts w:hint="eastAsia" w:ascii="宋体" w:hAnsi="宋体" w:eastAsia="宋体" w:cs="宋体"/>
              <w:sz w:val="30"/>
              <w:szCs w:val="30"/>
            </w:rPr>
            <w:t>19</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_Toc14749 </w:instrText>
          </w:r>
          <w:r>
            <w:rPr>
              <w:rFonts w:hint="eastAsia" w:ascii="宋体" w:hAnsi="宋体" w:eastAsia="宋体" w:cs="宋体"/>
              <w:sz w:val="30"/>
              <w:szCs w:val="30"/>
              <w:lang w:val="en-US"/>
            </w:rPr>
            <w:fldChar w:fldCharType="separate"/>
          </w:r>
          <w:r>
            <w:rPr>
              <w:rFonts w:hint="eastAsia" w:ascii="宋体" w:hAnsi="宋体" w:eastAsia="宋体" w:cs="宋体"/>
              <w:sz w:val="30"/>
              <w:szCs w:val="30"/>
            </w:rPr>
            <w:t>第三节  矿山环境影响预测评估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_Toc14749 </w:instrText>
          </w:r>
          <w:r>
            <w:rPr>
              <w:rFonts w:hint="eastAsia" w:ascii="宋体" w:hAnsi="宋体" w:eastAsia="宋体" w:cs="宋体"/>
              <w:sz w:val="30"/>
              <w:szCs w:val="30"/>
            </w:rPr>
            <w:fldChar w:fldCharType="separate"/>
          </w:r>
          <w:r>
            <w:rPr>
              <w:rFonts w:hint="eastAsia" w:ascii="宋体" w:hAnsi="宋体" w:eastAsia="宋体" w:cs="宋体"/>
              <w:sz w:val="30"/>
              <w:szCs w:val="30"/>
            </w:rPr>
            <w:t>21</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5"/>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b/>
              <w:sz w:val="30"/>
              <w:szCs w:val="30"/>
            </w:rPr>
          </w:pP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 HYPERLINK \l _Toc23369 </w:instrText>
          </w:r>
          <w:r>
            <w:rPr>
              <w:rFonts w:hint="eastAsia" w:ascii="宋体" w:hAnsi="宋体" w:eastAsia="宋体" w:cs="宋体"/>
              <w:b/>
              <w:sz w:val="30"/>
              <w:szCs w:val="30"/>
              <w:lang w:val="en-US"/>
            </w:rPr>
            <w:fldChar w:fldCharType="separate"/>
          </w:r>
          <w:r>
            <w:rPr>
              <w:rFonts w:hint="eastAsia" w:ascii="宋体" w:hAnsi="宋体" w:eastAsia="宋体" w:cs="宋体"/>
              <w:b/>
              <w:bCs/>
              <w:sz w:val="30"/>
              <w:szCs w:val="30"/>
            </w:rPr>
            <w:t xml:space="preserve">第三章  </w:t>
          </w:r>
          <w:r>
            <w:rPr>
              <w:rFonts w:hint="eastAsia" w:ascii="宋体" w:hAnsi="宋体" w:eastAsia="宋体" w:cs="宋体"/>
              <w:b/>
              <w:bCs/>
              <w:sz w:val="30"/>
              <w:szCs w:val="30"/>
              <w:lang w:val="en-US"/>
            </w:rPr>
            <w:t>2021</w:t>
          </w:r>
          <w:r>
            <w:rPr>
              <w:rFonts w:hint="eastAsia" w:ascii="宋体" w:hAnsi="宋体" w:eastAsia="宋体" w:cs="宋体"/>
              <w:b/>
              <w:bCs/>
              <w:sz w:val="30"/>
              <w:szCs w:val="30"/>
            </w:rPr>
            <w:t>年前方案的编制情况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_Toc23369 </w:instrText>
          </w:r>
          <w:r>
            <w:rPr>
              <w:rFonts w:hint="eastAsia" w:ascii="宋体" w:hAnsi="宋体" w:eastAsia="宋体" w:cs="宋体"/>
              <w:b/>
              <w:sz w:val="30"/>
              <w:szCs w:val="30"/>
            </w:rPr>
            <w:fldChar w:fldCharType="separate"/>
          </w:r>
          <w:r>
            <w:rPr>
              <w:rFonts w:hint="eastAsia" w:ascii="宋体" w:hAnsi="宋体" w:eastAsia="宋体" w:cs="宋体"/>
              <w:b/>
              <w:sz w:val="30"/>
              <w:szCs w:val="30"/>
            </w:rPr>
            <w:t>25</w:t>
          </w:r>
          <w:r>
            <w:rPr>
              <w:rFonts w:hint="eastAsia" w:ascii="宋体" w:hAnsi="宋体" w:eastAsia="宋体" w:cs="宋体"/>
              <w:b/>
              <w:sz w:val="30"/>
              <w:szCs w:val="30"/>
            </w:rPr>
            <w:fldChar w:fldCharType="end"/>
          </w:r>
          <w:r>
            <w:rPr>
              <w:rFonts w:hint="eastAsia" w:ascii="宋体" w:hAnsi="宋体" w:eastAsia="宋体" w:cs="宋体"/>
              <w:b/>
              <w:sz w:val="30"/>
              <w:szCs w:val="30"/>
              <w:lang w:val="en-US"/>
            </w:rPr>
            <w:fldChar w:fldCharType="end"/>
          </w:r>
        </w:p>
        <w:p>
          <w:pPr>
            <w:pStyle w:val="25"/>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b/>
              <w:sz w:val="30"/>
              <w:szCs w:val="30"/>
            </w:rPr>
          </w:pP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 HYPERLINK \l _Toc11769 </w:instrText>
          </w:r>
          <w:r>
            <w:rPr>
              <w:rFonts w:hint="eastAsia" w:ascii="宋体" w:hAnsi="宋体" w:eastAsia="宋体" w:cs="宋体"/>
              <w:b/>
              <w:sz w:val="30"/>
              <w:szCs w:val="30"/>
              <w:lang w:val="en-US"/>
            </w:rPr>
            <w:fldChar w:fldCharType="separate"/>
          </w:r>
          <w:r>
            <w:rPr>
              <w:rFonts w:hint="eastAsia" w:ascii="宋体" w:hAnsi="宋体" w:eastAsia="宋体" w:cs="宋体"/>
              <w:b/>
              <w:bCs/>
              <w:sz w:val="30"/>
              <w:szCs w:val="30"/>
            </w:rPr>
            <w:t>第四章</w:t>
          </w:r>
          <w:r>
            <w:rPr>
              <w:rFonts w:hint="eastAsia" w:ascii="宋体" w:hAnsi="宋体" w:eastAsia="宋体" w:cs="宋体"/>
              <w:b/>
              <w:bCs/>
              <w:sz w:val="30"/>
              <w:szCs w:val="30"/>
              <w:lang w:val="en-US"/>
            </w:rPr>
            <w:t xml:space="preserve"> </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矿山地质环境治理工程验收及完成情况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_Toc11769 </w:instrText>
          </w:r>
          <w:r>
            <w:rPr>
              <w:rFonts w:hint="eastAsia" w:ascii="宋体" w:hAnsi="宋体" w:eastAsia="宋体" w:cs="宋体"/>
              <w:b/>
              <w:sz w:val="30"/>
              <w:szCs w:val="30"/>
            </w:rPr>
            <w:fldChar w:fldCharType="separate"/>
          </w:r>
          <w:r>
            <w:rPr>
              <w:rFonts w:hint="eastAsia" w:ascii="宋体" w:hAnsi="宋体" w:eastAsia="宋体" w:cs="宋体"/>
              <w:b/>
              <w:sz w:val="30"/>
              <w:szCs w:val="30"/>
            </w:rPr>
            <w:t>37</w:t>
          </w:r>
          <w:r>
            <w:rPr>
              <w:rFonts w:hint="eastAsia" w:ascii="宋体" w:hAnsi="宋体" w:eastAsia="宋体" w:cs="宋体"/>
              <w:b/>
              <w:sz w:val="30"/>
              <w:szCs w:val="30"/>
            </w:rPr>
            <w:fldChar w:fldCharType="end"/>
          </w:r>
          <w:r>
            <w:rPr>
              <w:rFonts w:hint="eastAsia" w:ascii="宋体" w:hAnsi="宋体" w:eastAsia="宋体" w:cs="宋体"/>
              <w:b/>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_Toc21570 </w:instrText>
          </w:r>
          <w:r>
            <w:rPr>
              <w:rFonts w:hint="eastAsia" w:ascii="宋体" w:hAnsi="宋体" w:eastAsia="宋体" w:cs="宋体"/>
              <w:sz w:val="30"/>
              <w:szCs w:val="30"/>
              <w:lang w:val="en-US"/>
            </w:rPr>
            <w:fldChar w:fldCharType="separate"/>
          </w:r>
          <w:r>
            <w:rPr>
              <w:rFonts w:hint="eastAsia" w:ascii="宋体" w:hAnsi="宋体" w:eastAsia="宋体" w:cs="宋体"/>
              <w:bCs/>
              <w:sz w:val="30"/>
              <w:szCs w:val="30"/>
              <w:lang w:val="en-US"/>
            </w:rPr>
            <w:t>第一节</w:t>
          </w:r>
          <w:r>
            <w:rPr>
              <w:rFonts w:hint="eastAsia" w:ascii="宋体" w:hAnsi="宋体" w:eastAsia="宋体" w:cs="宋体"/>
              <w:bCs/>
              <w:sz w:val="30"/>
              <w:szCs w:val="30"/>
              <w:lang w:val="en-US" w:eastAsia="zh-CN"/>
            </w:rPr>
            <w:t xml:space="preserve"> </w:t>
          </w:r>
          <w:r>
            <w:rPr>
              <w:rFonts w:hint="eastAsia" w:ascii="宋体" w:hAnsi="宋体" w:eastAsia="宋体" w:cs="宋体"/>
              <w:bCs/>
              <w:sz w:val="30"/>
              <w:szCs w:val="30"/>
              <w:lang w:val="en-US"/>
            </w:rPr>
            <w:t xml:space="preserve"> 矿山地质环境治理工程验收情况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_Toc21570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6"/>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sz w:val="30"/>
              <w:szCs w:val="30"/>
            </w:rPr>
          </w:pPr>
          <w:r>
            <w:rPr>
              <w:rFonts w:hint="eastAsia" w:ascii="宋体" w:hAnsi="宋体" w:eastAsia="宋体" w:cs="宋体"/>
              <w:sz w:val="30"/>
              <w:szCs w:val="30"/>
              <w:lang w:val="en-US"/>
            </w:rPr>
            <w:fldChar w:fldCharType="begin"/>
          </w:r>
          <w:r>
            <w:rPr>
              <w:rFonts w:hint="eastAsia" w:ascii="宋体" w:hAnsi="宋体" w:eastAsia="宋体" w:cs="宋体"/>
              <w:sz w:val="30"/>
              <w:szCs w:val="30"/>
              <w:lang w:val="en-US"/>
            </w:rPr>
            <w:instrText xml:space="preserve"> HYPERLINK \l _Toc30221 </w:instrText>
          </w:r>
          <w:r>
            <w:rPr>
              <w:rFonts w:hint="eastAsia" w:ascii="宋体" w:hAnsi="宋体" w:eastAsia="宋体" w:cs="宋体"/>
              <w:sz w:val="30"/>
              <w:szCs w:val="30"/>
              <w:lang w:val="en-US"/>
            </w:rPr>
            <w:fldChar w:fldCharType="separate"/>
          </w:r>
          <w:r>
            <w:rPr>
              <w:rFonts w:hint="eastAsia" w:ascii="宋体" w:hAnsi="宋体" w:eastAsia="宋体" w:cs="宋体"/>
              <w:bCs/>
              <w:sz w:val="30"/>
              <w:szCs w:val="30"/>
              <w:lang w:val="en-US"/>
            </w:rPr>
            <w:t xml:space="preserve">第二节 </w:t>
          </w:r>
          <w:r>
            <w:rPr>
              <w:rFonts w:hint="eastAsia" w:ascii="宋体" w:hAnsi="宋体" w:eastAsia="宋体" w:cs="宋体"/>
              <w:bCs/>
              <w:sz w:val="30"/>
              <w:szCs w:val="30"/>
              <w:lang w:val="en-US" w:eastAsia="zh-CN"/>
            </w:rPr>
            <w:t xml:space="preserve"> </w:t>
          </w:r>
          <w:r>
            <w:rPr>
              <w:rFonts w:hint="eastAsia" w:ascii="宋体" w:hAnsi="宋体" w:eastAsia="宋体" w:cs="宋体"/>
              <w:bCs/>
              <w:sz w:val="30"/>
              <w:szCs w:val="30"/>
              <w:lang w:val="en-US"/>
            </w:rPr>
            <w:t>2020年度地质环境治理工程完成情况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_Toc30221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sz w:val="30"/>
              <w:szCs w:val="30"/>
              <w:lang w:val="en-US"/>
            </w:rPr>
            <w:fldChar w:fldCharType="end"/>
          </w:r>
        </w:p>
        <w:p>
          <w:pPr>
            <w:pStyle w:val="25"/>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b/>
              <w:sz w:val="30"/>
              <w:szCs w:val="30"/>
            </w:rPr>
          </w:pP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 HYPERLINK \l _Toc17319 </w:instrText>
          </w:r>
          <w:r>
            <w:rPr>
              <w:rFonts w:hint="eastAsia" w:ascii="宋体" w:hAnsi="宋体" w:eastAsia="宋体" w:cs="宋体"/>
              <w:b/>
              <w:sz w:val="30"/>
              <w:szCs w:val="30"/>
              <w:lang w:val="en-US"/>
            </w:rPr>
            <w:fldChar w:fldCharType="separate"/>
          </w:r>
          <w:r>
            <w:rPr>
              <w:rFonts w:hint="eastAsia" w:ascii="宋体" w:hAnsi="宋体" w:eastAsia="宋体" w:cs="宋体"/>
              <w:b/>
              <w:bCs/>
              <w:sz w:val="30"/>
              <w:szCs w:val="30"/>
            </w:rPr>
            <w:t>第五章</w:t>
          </w:r>
          <w:r>
            <w:rPr>
              <w:rFonts w:hint="eastAsia" w:ascii="宋体" w:hAnsi="宋体" w:eastAsia="宋体" w:cs="宋体"/>
              <w:b/>
              <w:bCs/>
              <w:sz w:val="30"/>
              <w:szCs w:val="30"/>
              <w:lang w:val="en-US"/>
            </w:rPr>
            <w:t xml:space="preserve"> </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202</w:t>
          </w:r>
          <w:r>
            <w:rPr>
              <w:rFonts w:hint="eastAsia" w:ascii="宋体" w:hAnsi="宋体" w:eastAsia="宋体" w:cs="宋体"/>
              <w:b/>
              <w:bCs/>
              <w:sz w:val="30"/>
              <w:szCs w:val="30"/>
              <w:lang w:val="en-US"/>
            </w:rPr>
            <w:t>1</w:t>
          </w:r>
          <w:r>
            <w:rPr>
              <w:rFonts w:hint="eastAsia" w:ascii="宋体" w:hAnsi="宋体" w:eastAsia="宋体" w:cs="宋体"/>
              <w:b/>
              <w:bCs/>
              <w:sz w:val="30"/>
              <w:szCs w:val="30"/>
            </w:rPr>
            <w:t>年地质环境治理工程拟计划情况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_Toc17319 </w:instrText>
          </w:r>
          <w:r>
            <w:rPr>
              <w:rFonts w:hint="eastAsia" w:ascii="宋体" w:hAnsi="宋体" w:eastAsia="宋体" w:cs="宋体"/>
              <w:b/>
              <w:sz w:val="30"/>
              <w:szCs w:val="30"/>
            </w:rPr>
            <w:fldChar w:fldCharType="separate"/>
          </w:r>
          <w:r>
            <w:rPr>
              <w:rFonts w:hint="eastAsia" w:ascii="宋体" w:hAnsi="宋体" w:eastAsia="宋体" w:cs="宋体"/>
              <w:b/>
              <w:sz w:val="30"/>
              <w:szCs w:val="30"/>
            </w:rPr>
            <w:t>37</w:t>
          </w:r>
          <w:r>
            <w:rPr>
              <w:rFonts w:hint="eastAsia" w:ascii="宋体" w:hAnsi="宋体" w:eastAsia="宋体" w:cs="宋体"/>
              <w:b/>
              <w:sz w:val="30"/>
              <w:szCs w:val="30"/>
            </w:rPr>
            <w:fldChar w:fldCharType="end"/>
          </w:r>
          <w:r>
            <w:rPr>
              <w:rFonts w:hint="eastAsia" w:ascii="宋体" w:hAnsi="宋体" w:eastAsia="宋体" w:cs="宋体"/>
              <w:b/>
              <w:sz w:val="30"/>
              <w:szCs w:val="30"/>
              <w:lang w:val="en-US"/>
            </w:rPr>
            <w:fldChar w:fldCharType="end"/>
          </w:r>
        </w:p>
        <w:p>
          <w:pPr>
            <w:pStyle w:val="25"/>
            <w:keepNext w:val="0"/>
            <w:keepLines w:val="0"/>
            <w:pageBreakBefore w:val="0"/>
            <w:tabs>
              <w:tab w:val="right" w:leader="dot" w:pos="9800"/>
            </w:tabs>
            <w:kinsoku/>
            <w:wordWrap/>
            <w:overflowPunct/>
            <w:topLinePunct w:val="0"/>
            <w:bidi w:val="0"/>
            <w:adjustRightInd/>
            <w:snapToGrid/>
            <w:spacing w:line="600" w:lineRule="exact"/>
            <w:textAlignment w:val="auto"/>
            <w:rPr>
              <w:rFonts w:hint="eastAsia" w:ascii="宋体" w:hAnsi="宋体" w:eastAsia="宋体" w:cs="宋体"/>
              <w:b/>
              <w:sz w:val="30"/>
              <w:szCs w:val="30"/>
            </w:rPr>
          </w:pPr>
          <w:r>
            <w:rPr>
              <w:rFonts w:hint="eastAsia" w:ascii="宋体" w:hAnsi="宋体" w:eastAsia="宋体" w:cs="宋体"/>
              <w:b/>
              <w:sz w:val="30"/>
              <w:szCs w:val="30"/>
              <w:lang w:val="en-US"/>
            </w:rPr>
            <w:fldChar w:fldCharType="begin"/>
          </w:r>
          <w:r>
            <w:rPr>
              <w:rFonts w:hint="eastAsia" w:ascii="宋体" w:hAnsi="宋体" w:eastAsia="宋体" w:cs="宋体"/>
              <w:b/>
              <w:sz w:val="30"/>
              <w:szCs w:val="30"/>
              <w:lang w:val="en-US"/>
            </w:rPr>
            <w:instrText xml:space="preserve"> HYPERLINK \l _Toc12060 </w:instrText>
          </w:r>
          <w:r>
            <w:rPr>
              <w:rFonts w:hint="eastAsia" w:ascii="宋体" w:hAnsi="宋体" w:eastAsia="宋体" w:cs="宋体"/>
              <w:b/>
              <w:sz w:val="30"/>
              <w:szCs w:val="30"/>
              <w:lang w:val="en-US"/>
            </w:rPr>
            <w:fldChar w:fldCharType="separate"/>
          </w:r>
          <w:r>
            <w:rPr>
              <w:rFonts w:hint="eastAsia" w:ascii="宋体" w:hAnsi="宋体" w:eastAsia="宋体" w:cs="宋体"/>
              <w:b/>
              <w:bCs/>
              <w:sz w:val="30"/>
              <w:szCs w:val="30"/>
            </w:rPr>
            <w:t>第六章</w:t>
          </w:r>
          <w:r>
            <w:rPr>
              <w:rFonts w:hint="eastAsia" w:ascii="宋体" w:hAnsi="宋体" w:eastAsia="宋体" w:cs="宋体"/>
              <w:b/>
              <w:bCs/>
              <w:sz w:val="30"/>
              <w:szCs w:val="30"/>
              <w:lang w:val="en-US"/>
            </w:rPr>
            <w:t xml:space="preserve">  </w:t>
          </w:r>
          <w:r>
            <w:rPr>
              <w:rFonts w:hint="eastAsia" w:ascii="宋体" w:hAnsi="宋体" w:eastAsia="宋体" w:cs="宋体"/>
              <w:b/>
              <w:bCs/>
              <w:sz w:val="30"/>
              <w:szCs w:val="30"/>
            </w:rPr>
            <w:t>202</w:t>
          </w:r>
          <w:r>
            <w:rPr>
              <w:rFonts w:hint="eastAsia" w:ascii="宋体" w:hAnsi="宋体" w:eastAsia="宋体" w:cs="宋体"/>
              <w:b/>
              <w:bCs/>
              <w:sz w:val="30"/>
              <w:szCs w:val="30"/>
              <w:lang w:val="en-US"/>
            </w:rPr>
            <w:t>1</w:t>
          </w:r>
          <w:r>
            <w:rPr>
              <w:rFonts w:hint="eastAsia" w:ascii="宋体" w:hAnsi="宋体" w:eastAsia="宋体" w:cs="宋体"/>
              <w:b/>
              <w:bCs/>
              <w:sz w:val="30"/>
              <w:szCs w:val="30"/>
            </w:rPr>
            <w:t>年计提矿山地质环境治理基金情况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_Toc12060 </w:instrText>
          </w:r>
          <w:r>
            <w:rPr>
              <w:rFonts w:hint="eastAsia" w:ascii="宋体" w:hAnsi="宋体" w:eastAsia="宋体" w:cs="宋体"/>
              <w:b/>
              <w:sz w:val="30"/>
              <w:szCs w:val="30"/>
            </w:rPr>
            <w:fldChar w:fldCharType="separate"/>
          </w:r>
          <w:r>
            <w:rPr>
              <w:rFonts w:hint="eastAsia" w:ascii="宋体" w:hAnsi="宋体" w:eastAsia="宋体" w:cs="宋体"/>
              <w:b/>
              <w:sz w:val="30"/>
              <w:szCs w:val="30"/>
            </w:rPr>
            <w:t>40</w:t>
          </w:r>
          <w:r>
            <w:rPr>
              <w:rFonts w:hint="eastAsia" w:ascii="宋体" w:hAnsi="宋体" w:eastAsia="宋体" w:cs="宋体"/>
              <w:b/>
              <w:sz w:val="30"/>
              <w:szCs w:val="30"/>
            </w:rPr>
            <w:fldChar w:fldCharType="end"/>
          </w:r>
          <w:r>
            <w:rPr>
              <w:rFonts w:hint="eastAsia" w:ascii="宋体" w:hAnsi="宋体" w:eastAsia="宋体" w:cs="宋体"/>
              <w:b/>
              <w:sz w:val="30"/>
              <w:szCs w:val="30"/>
              <w:lang w:val="en-US"/>
            </w:rPr>
            <w:fldChar w:fldCharType="end"/>
          </w:r>
        </w:p>
        <w:p>
          <w:pPr>
            <w:keepNext w:val="0"/>
            <w:keepLines w:val="0"/>
            <w:pageBreakBefore w:val="0"/>
            <w:tabs>
              <w:tab w:val="left" w:pos="803"/>
            </w:tabs>
            <w:kinsoku/>
            <w:wordWrap/>
            <w:overflowPunct/>
            <w:topLinePunct w:val="0"/>
            <w:bidi w:val="0"/>
            <w:adjustRightInd/>
            <w:snapToGrid/>
            <w:spacing w:line="600" w:lineRule="exact"/>
            <w:ind w:right="93"/>
            <w:jc w:val="center"/>
            <w:textAlignment w:val="auto"/>
            <w:rPr>
              <w:rFonts w:ascii="微软雅黑" w:eastAsia="微软雅黑"/>
              <w:b/>
              <w:sz w:val="40"/>
              <w:lang w:val="en-US"/>
            </w:rPr>
          </w:pPr>
          <w:r>
            <w:rPr>
              <w:rFonts w:hint="eastAsia" w:ascii="宋体" w:hAnsi="宋体" w:eastAsia="宋体" w:cs="宋体"/>
              <w:b/>
              <w:sz w:val="30"/>
              <w:szCs w:val="30"/>
              <w:lang w:val="en-US"/>
            </w:rPr>
            <w:fldChar w:fldCharType="end"/>
          </w:r>
        </w:p>
      </w:sdtContent>
    </w:sdt>
    <w:p>
      <w:pPr>
        <w:tabs>
          <w:tab w:val="left" w:leader="hyphen" w:pos="9217"/>
        </w:tabs>
        <w:spacing w:before="147" w:line="660" w:lineRule="exact"/>
        <w:rPr>
          <w:rFonts w:ascii="仿宋_GB2312" w:hAnsi="仿宋_GB2312" w:eastAsia="仿宋_GB2312" w:cs="仿宋_GB2312"/>
          <w:b/>
          <w:bCs/>
          <w:w w:val="167"/>
          <w:sz w:val="32"/>
          <w:szCs w:val="32"/>
          <w:lang w:val="en-US"/>
        </w:rPr>
      </w:pPr>
    </w:p>
    <w:p>
      <w:pPr>
        <w:pStyle w:val="6"/>
        <w:spacing w:line="560" w:lineRule="exact"/>
        <w:rPr>
          <w:rFonts w:ascii="仿宋_GB2312" w:hAnsi="仿宋_GB2312" w:eastAsia="仿宋_GB2312" w:cs="仿宋_GB2312"/>
        </w:rPr>
      </w:pPr>
    </w:p>
    <w:p>
      <w:pPr>
        <w:spacing w:before="58" w:line="560" w:lineRule="exact"/>
        <w:ind w:left="462"/>
        <w:rPr>
          <w:sz w:val="30"/>
        </w:rPr>
      </w:pPr>
      <w:r>
        <w:rPr>
          <w:sz w:val="30"/>
        </w:rPr>
        <w:t xml:space="preserve"> </w:t>
      </w:r>
    </w:p>
    <w:p>
      <w:pPr>
        <w:spacing w:line="560" w:lineRule="exact"/>
        <w:rPr>
          <w:sz w:val="30"/>
        </w:rPr>
        <w:sectPr>
          <w:footerReference r:id="rId4" w:type="default"/>
          <w:pgSz w:w="11900" w:h="16840"/>
          <w:pgMar w:top="1600" w:right="860" w:bottom="280" w:left="1240" w:header="720" w:footer="720" w:gutter="0"/>
          <w:pgNumType w:start="1"/>
          <w:cols w:space="720" w:num="1"/>
        </w:sectPr>
      </w:pPr>
    </w:p>
    <w:p>
      <w:pPr>
        <w:pStyle w:val="2"/>
        <w:pageBreakBefore w:val="0"/>
        <w:widowControl/>
        <w:kinsoku/>
        <w:wordWrap/>
        <w:overflowPunct/>
        <w:topLinePunct w:val="0"/>
        <w:autoSpaceDE w:val="0"/>
        <w:autoSpaceDN w:val="0"/>
        <w:bidi w:val="0"/>
        <w:adjustRightInd/>
        <w:snapToGrid/>
        <w:spacing w:line="360" w:lineRule="auto"/>
        <w:textAlignment w:val="auto"/>
        <w:rPr>
          <w:rFonts w:ascii="宋体" w:hAnsi="宋体" w:eastAsia="宋体" w:cs="宋体"/>
          <w:kern w:val="44"/>
          <w:sz w:val="36"/>
          <w:szCs w:val="36"/>
        </w:rPr>
      </w:pPr>
      <w:bookmarkStart w:id="0" w:name="_Toc217874203"/>
      <w:bookmarkEnd w:id="0"/>
      <w:bookmarkStart w:id="1" w:name="_Toc5288"/>
      <w:r>
        <w:rPr>
          <w:rFonts w:hint="eastAsia" w:ascii="宋体" w:hAnsi="宋体" w:eastAsia="宋体" w:cs="宋体"/>
          <w:kern w:val="44"/>
          <w:sz w:val="36"/>
          <w:szCs w:val="36"/>
        </w:rPr>
        <w:t>第一章  矿山基本情况</w:t>
      </w:r>
      <w:bookmarkEnd w:id="1"/>
    </w:p>
    <w:p>
      <w:pPr>
        <w:pStyle w:val="3"/>
        <w:pageBreakBefore w:val="0"/>
        <w:widowControl/>
        <w:kinsoku/>
        <w:wordWrap/>
        <w:overflowPunct/>
        <w:topLinePunct w:val="0"/>
        <w:autoSpaceDE w:val="0"/>
        <w:autoSpaceDN w:val="0"/>
        <w:bidi w:val="0"/>
        <w:adjustRightInd/>
        <w:snapToGrid/>
        <w:spacing w:before="0" w:after="0"/>
        <w:jc w:val="center"/>
        <w:textAlignment w:val="auto"/>
        <w:rPr>
          <w:rFonts w:ascii="宋体" w:hAnsi="宋体" w:eastAsia="宋体"/>
          <w:b/>
          <w:color w:val="auto"/>
          <w:sz w:val="30"/>
        </w:rPr>
      </w:pPr>
      <w:bookmarkStart w:id="2" w:name="_Toc133146587"/>
      <w:bookmarkEnd w:id="2"/>
      <w:bookmarkStart w:id="3" w:name="_Toc49659064"/>
      <w:bookmarkEnd w:id="3"/>
      <w:bookmarkStart w:id="4" w:name="_Toc47815854"/>
      <w:bookmarkEnd w:id="4"/>
      <w:bookmarkStart w:id="5" w:name="_Toc51007471"/>
      <w:bookmarkEnd w:id="5"/>
      <w:bookmarkStart w:id="6" w:name="_Toc51649753"/>
      <w:bookmarkEnd w:id="6"/>
      <w:bookmarkStart w:id="7" w:name="_Toc98326262"/>
      <w:bookmarkEnd w:id="7"/>
      <w:bookmarkStart w:id="8" w:name="_Toc117169003"/>
      <w:bookmarkEnd w:id="8"/>
      <w:bookmarkStart w:id="9" w:name="_Toc48240685"/>
      <w:bookmarkEnd w:id="9"/>
      <w:bookmarkStart w:id="10" w:name="_Toc217874204"/>
      <w:bookmarkStart w:id="11" w:name="_Toc29350"/>
      <w:r>
        <w:rPr>
          <w:rFonts w:hint="eastAsia" w:ascii="宋体" w:hAnsi="宋体" w:eastAsia="宋体"/>
          <w:b/>
          <w:color w:val="auto"/>
          <w:sz w:val="30"/>
        </w:rPr>
        <w:t>第一节 矿</w:t>
      </w:r>
      <w:bookmarkEnd w:id="10"/>
      <w:r>
        <w:rPr>
          <w:rFonts w:hint="eastAsia" w:ascii="宋体" w:hAnsi="宋体" w:eastAsia="宋体"/>
          <w:b/>
          <w:color w:val="auto"/>
          <w:sz w:val="30"/>
        </w:rPr>
        <w:t>区自然地理</w:t>
      </w:r>
      <w:bookmarkEnd w:id="11"/>
    </w:p>
    <w:p>
      <w:pPr>
        <w:pStyle w:val="4"/>
        <w:pageBreakBefore w:val="0"/>
        <w:widowControl/>
        <w:numPr>
          <w:ilvl w:val="0"/>
          <w:numId w:val="1"/>
        </w:numPr>
        <w:kinsoku/>
        <w:wordWrap/>
        <w:overflowPunct/>
        <w:topLinePunct w:val="0"/>
        <w:autoSpaceDE w:val="0"/>
        <w:autoSpaceDN w:val="0"/>
        <w:bidi w:val="0"/>
        <w:adjustRightInd/>
        <w:spacing w:before="0" w:after="0" w:line="600" w:lineRule="exact"/>
        <w:ind w:left="0" w:firstLine="602" w:firstLineChars="200"/>
        <w:textAlignment w:val="auto"/>
        <w:rPr>
          <w:kern w:val="2"/>
          <w:sz w:val="30"/>
          <w:szCs w:val="30"/>
        </w:rPr>
      </w:pPr>
      <w:bookmarkStart w:id="12" w:name="_Toc133146595"/>
      <w:bookmarkEnd w:id="12"/>
      <w:r>
        <w:rPr>
          <w:rFonts w:hint="eastAsia"/>
          <w:kern w:val="2"/>
          <w:sz w:val="30"/>
          <w:szCs w:val="30"/>
        </w:rPr>
        <w:t>位置交通</w:t>
      </w:r>
    </w:p>
    <w:p>
      <w:pPr>
        <w:pStyle w:val="4"/>
        <w:pageBreakBefore w:val="0"/>
        <w:widowControl/>
        <w:kinsoku/>
        <w:wordWrap/>
        <w:overflowPunct/>
        <w:topLinePunct w:val="0"/>
        <w:autoSpaceDE w:val="0"/>
        <w:autoSpaceDN w:val="0"/>
        <w:bidi w:val="0"/>
        <w:adjustRightInd/>
        <w:spacing w:before="0" w:after="0" w:line="600" w:lineRule="exact"/>
        <w:ind w:left="0" w:firstLine="602" w:firstLineChars="200"/>
        <w:textAlignment w:val="auto"/>
        <w:rPr>
          <w:kern w:val="2"/>
          <w:sz w:val="30"/>
          <w:szCs w:val="30"/>
        </w:rPr>
      </w:pPr>
      <w:r>
        <w:rPr>
          <w:rFonts w:hint="eastAsia"/>
          <w:kern w:val="2"/>
          <w:sz w:val="30"/>
          <w:szCs w:val="30"/>
        </w:rPr>
        <w:t xml:space="preserve"> 1、位 置</w:t>
      </w:r>
    </w:p>
    <w:p>
      <w:pPr>
        <w:pStyle w:val="10"/>
        <w:pageBreakBefore w:val="0"/>
        <w:kinsoku/>
        <w:wordWrap/>
        <w:overflowPunct/>
        <w:topLinePunct w:val="0"/>
        <w:autoSpaceDE w:val="0"/>
        <w:autoSpaceDN w:val="0"/>
        <w:bidi w:val="0"/>
        <w:adjustRightInd/>
        <w:spacing w:line="600" w:lineRule="exact"/>
        <w:ind w:left="0" w:firstLine="600" w:firstLineChars="200"/>
        <w:textAlignment w:val="auto"/>
        <w:rPr>
          <w:kern w:val="2"/>
          <w:sz w:val="30"/>
          <w:szCs w:val="30"/>
        </w:rPr>
      </w:pPr>
      <w:r>
        <w:rPr>
          <w:rFonts w:hint="eastAsia"/>
          <w:kern w:val="2"/>
          <w:sz w:val="30"/>
          <w:szCs w:val="30"/>
          <w:lang w:val="en-US" w:bidi="ar"/>
        </w:rPr>
        <w:t xml:space="preserve"> 乌海市万晨能源煤炭有限责任公司龙贵分公司划定井田位于内蒙古自治区桌子山煤田白云乌素矿区中东部，距乌海市海南区约6km，距乌海市约30km，行政区划隶属乌海市海南区东风乡。其地理坐标：</w:t>
      </w:r>
    </w:p>
    <w:p>
      <w:pPr>
        <w:pStyle w:val="10"/>
        <w:pageBreakBefore w:val="0"/>
        <w:kinsoku/>
        <w:wordWrap/>
        <w:overflowPunct/>
        <w:topLinePunct w:val="0"/>
        <w:autoSpaceDE w:val="0"/>
        <w:autoSpaceDN w:val="0"/>
        <w:bidi w:val="0"/>
        <w:adjustRightInd/>
        <w:spacing w:line="600" w:lineRule="exact"/>
        <w:ind w:left="0" w:firstLine="600" w:firstLineChars="200"/>
        <w:textAlignment w:val="auto"/>
        <w:rPr>
          <w:kern w:val="2"/>
          <w:sz w:val="30"/>
          <w:szCs w:val="30"/>
        </w:rPr>
      </w:pPr>
      <w:r>
        <w:rPr>
          <w:rFonts w:hint="eastAsia"/>
          <w:kern w:val="2"/>
          <w:sz w:val="30"/>
          <w:szCs w:val="30"/>
          <w:lang w:val="en-US" w:bidi="ar"/>
        </w:rPr>
        <w:t>东经：106°56′00″～106°56′14″</w:t>
      </w:r>
    </w:p>
    <w:p>
      <w:pPr>
        <w:pStyle w:val="10"/>
        <w:pageBreakBefore w:val="0"/>
        <w:kinsoku/>
        <w:wordWrap/>
        <w:overflowPunct/>
        <w:topLinePunct w:val="0"/>
        <w:autoSpaceDE w:val="0"/>
        <w:autoSpaceDN w:val="0"/>
        <w:bidi w:val="0"/>
        <w:adjustRightInd/>
        <w:spacing w:line="600" w:lineRule="exact"/>
        <w:ind w:left="0" w:firstLine="600" w:firstLineChars="200"/>
        <w:textAlignment w:val="auto"/>
        <w:rPr>
          <w:kern w:val="2"/>
          <w:sz w:val="30"/>
          <w:szCs w:val="30"/>
        </w:rPr>
      </w:pPr>
      <w:r>
        <w:rPr>
          <w:rFonts w:hint="eastAsia"/>
          <w:kern w:val="2"/>
          <w:sz w:val="30"/>
          <w:szCs w:val="30"/>
          <w:lang w:val="en-US" w:bidi="ar"/>
        </w:rPr>
        <w:t>北纬：39°27′21″～39°27′39″</w:t>
      </w:r>
    </w:p>
    <w:p>
      <w:pPr>
        <w:pStyle w:val="10"/>
        <w:pageBreakBefore w:val="0"/>
        <w:kinsoku/>
        <w:wordWrap/>
        <w:overflowPunct/>
        <w:topLinePunct w:val="0"/>
        <w:autoSpaceDE w:val="0"/>
        <w:autoSpaceDN w:val="0"/>
        <w:bidi w:val="0"/>
        <w:adjustRightInd/>
        <w:spacing w:line="600" w:lineRule="exact"/>
        <w:ind w:left="0" w:firstLine="602" w:firstLineChars="200"/>
        <w:textAlignment w:val="auto"/>
        <w:rPr>
          <w:b/>
          <w:kern w:val="2"/>
          <w:sz w:val="30"/>
          <w:szCs w:val="30"/>
        </w:rPr>
      </w:pPr>
      <w:r>
        <w:rPr>
          <w:rFonts w:hint="eastAsia"/>
          <w:b/>
          <w:kern w:val="2"/>
          <w:sz w:val="30"/>
          <w:szCs w:val="30"/>
          <w:lang w:val="en-US" w:bidi="ar"/>
        </w:rPr>
        <w:t>2、交 通</w:t>
      </w:r>
    </w:p>
    <w:p>
      <w:pPr>
        <w:pStyle w:val="10"/>
        <w:pageBreakBefore w:val="0"/>
        <w:kinsoku/>
        <w:wordWrap/>
        <w:overflowPunct/>
        <w:topLinePunct w:val="0"/>
        <w:autoSpaceDE w:val="0"/>
        <w:autoSpaceDN w:val="0"/>
        <w:bidi w:val="0"/>
        <w:adjustRightInd/>
        <w:spacing w:line="600" w:lineRule="exact"/>
        <w:ind w:left="0" w:firstLine="600" w:firstLineChars="200"/>
        <w:textAlignment w:val="auto"/>
        <w:rPr>
          <w:spacing w:val="-6"/>
          <w:kern w:val="2"/>
          <w:sz w:val="30"/>
          <w:szCs w:val="30"/>
        </w:rPr>
      </w:pPr>
      <w:r>
        <w:rPr>
          <w:rFonts w:hint="eastAsia"/>
          <w:kern w:val="2"/>
          <w:sz w:val="30"/>
          <w:szCs w:val="30"/>
          <w:lang w:val="en-US" w:bidi="ar"/>
        </w:rPr>
        <w:t>区内有乌海市至鄂托克旗棋盘井镇的三级公路通过，沿此路向乌海方向、棋盘井方向，可分别与110、109国道相接。</w:t>
      </w:r>
      <w:r>
        <w:rPr>
          <w:rFonts w:hint="eastAsia"/>
          <w:spacing w:val="-6"/>
          <w:kern w:val="2"/>
          <w:sz w:val="30"/>
          <w:szCs w:val="30"/>
          <w:lang w:val="en-US" w:bidi="ar"/>
        </w:rPr>
        <w:t>铁路方面，本区距乌海～公乌素运煤专用线上的拉僧仲站约8km，沿该铁路线往北约27km到乌海可与包（头）——兰（州）铁路相接。</w:t>
      </w:r>
    </w:p>
    <w:p>
      <w:pPr>
        <w:pStyle w:val="10"/>
        <w:pageBreakBefore w:val="0"/>
        <w:kinsoku/>
        <w:wordWrap/>
        <w:overflowPunct/>
        <w:topLinePunct w:val="0"/>
        <w:autoSpaceDE w:val="0"/>
        <w:autoSpaceDN w:val="0"/>
        <w:bidi w:val="0"/>
        <w:adjustRightInd/>
        <w:spacing w:line="600" w:lineRule="exact"/>
        <w:ind w:left="0" w:firstLine="600" w:firstLineChars="200"/>
        <w:textAlignment w:val="auto"/>
        <w:rPr>
          <w:kern w:val="2"/>
          <w:sz w:val="30"/>
          <w:szCs w:val="30"/>
        </w:rPr>
      </w:pPr>
      <w:r>
        <w:rPr>
          <w:rFonts w:hint="eastAsia"/>
          <w:kern w:val="2"/>
          <w:sz w:val="30"/>
          <w:szCs w:val="30"/>
          <w:lang w:val="en-US" w:bidi="ar"/>
        </w:rPr>
        <w:t>本区附近公路、铁路畅通，交通条件十分便利，为煤炭外运及其他物资的运输提供了方便条件。详见交通位置图。</w:t>
      </w:r>
    </w:p>
    <w:p>
      <w:pPr>
        <w:pStyle w:val="4"/>
        <w:pageBreakBefore w:val="0"/>
        <w:widowControl/>
        <w:kinsoku/>
        <w:wordWrap/>
        <w:overflowPunct/>
        <w:topLinePunct w:val="0"/>
        <w:autoSpaceDE w:val="0"/>
        <w:autoSpaceDN w:val="0"/>
        <w:bidi w:val="0"/>
        <w:adjustRightInd/>
        <w:spacing w:line="600" w:lineRule="exact"/>
        <w:ind w:left="0" w:firstLine="602" w:firstLineChars="200"/>
        <w:textAlignment w:val="auto"/>
        <w:rPr>
          <w:kern w:val="2"/>
          <w:sz w:val="30"/>
          <w:szCs w:val="30"/>
        </w:rPr>
      </w:pPr>
      <w:r>
        <w:rPr>
          <w:rFonts w:hint="eastAsia"/>
          <w:kern w:val="2"/>
          <w:sz w:val="30"/>
          <w:szCs w:val="30"/>
        </w:rPr>
        <w:t>二、气象、水文</w:t>
      </w:r>
      <w:bookmarkStart w:id="13" w:name="_Toc133146597"/>
      <w:bookmarkEnd w:id="13"/>
    </w:p>
    <w:p>
      <w:pPr>
        <w:pageBreakBefore w:val="0"/>
        <w:kinsoku/>
        <w:wordWrap/>
        <w:overflowPunct/>
        <w:topLinePunct w:val="0"/>
        <w:autoSpaceDE w:val="0"/>
        <w:autoSpaceDN w:val="0"/>
        <w:bidi w:val="0"/>
        <w:adjustRightInd/>
        <w:spacing w:line="600" w:lineRule="exact"/>
        <w:ind w:left="0" w:firstLine="600" w:firstLineChars="200"/>
        <w:jc w:val="both"/>
        <w:textAlignment w:val="auto"/>
        <w:rPr>
          <w:b/>
          <w:kern w:val="2"/>
          <w:sz w:val="30"/>
          <w:szCs w:val="30"/>
        </w:rPr>
      </w:pPr>
      <w:r>
        <w:rPr>
          <w:rFonts w:hint="eastAsia"/>
          <w:kern w:val="2"/>
          <w:sz w:val="30"/>
          <w:szCs w:val="30"/>
          <w:lang w:val="en-US" w:bidi="ar"/>
        </w:rPr>
        <w:t xml:space="preserve">  </w:t>
      </w:r>
      <w:bookmarkStart w:id="14" w:name="_Toc133146596"/>
      <w:bookmarkEnd w:id="14"/>
      <w:r>
        <w:rPr>
          <w:rFonts w:hint="eastAsia"/>
          <w:b/>
          <w:kern w:val="2"/>
          <w:sz w:val="30"/>
          <w:szCs w:val="30"/>
          <w:lang w:val="en-US" w:bidi="ar"/>
        </w:rPr>
        <w:t>1、气象</w:t>
      </w:r>
    </w:p>
    <w:p>
      <w:pPr>
        <w:pageBreakBefore w:val="0"/>
        <w:kinsoku/>
        <w:wordWrap/>
        <w:overflowPunct/>
        <w:topLinePunct w:val="0"/>
        <w:autoSpaceDE w:val="0"/>
        <w:autoSpaceDN w:val="0"/>
        <w:bidi w:val="0"/>
        <w:adjustRightInd/>
        <w:snapToGrid w:val="0"/>
        <w:spacing w:line="600" w:lineRule="exact"/>
        <w:ind w:left="0" w:firstLine="600" w:firstLineChars="200"/>
        <w:jc w:val="both"/>
        <w:textAlignment w:val="auto"/>
        <w:rPr>
          <w:kern w:val="2"/>
          <w:sz w:val="30"/>
          <w:szCs w:val="30"/>
        </w:rPr>
      </w:pPr>
      <w:r>
        <w:rPr>
          <w:rFonts w:hint="eastAsia"/>
          <w:kern w:val="2"/>
          <w:sz w:val="30"/>
          <w:szCs w:val="30"/>
          <w:lang w:val="en-US" w:bidi="ar"/>
        </w:rPr>
        <w:t>本区属半沙漠、半干旱高原气候，冬季寒冷，夏季炎热，春秋干燥，昼夜温差较大，最高气温38.6℃，最低气温－30.4℃。年平均降水量274.7mm，且集中在7、8、9三个月内，年蒸发量平均为3525.7mm。冬春季节多刮西北风，夏秋季多刮东南风，最大风力8级，平均风速3.2米/秒，最大风速24米/秒。每年11月初封冻，至次年5月初解冻，最大冻土深度1.78 m。</w:t>
      </w:r>
    </w:p>
    <w:p>
      <w:pPr>
        <w:pageBreakBefore w:val="0"/>
        <w:kinsoku/>
        <w:wordWrap/>
        <w:overflowPunct/>
        <w:topLinePunct w:val="0"/>
        <w:autoSpaceDE w:val="0"/>
        <w:autoSpaceDN w:val="0"/>
        <w:bidi w:val="0"/>
        <w:adjustRightInd/>
        <w:spacing w:line="600" w:lineRule="exact"/>
        <w:ind w:left="0" w:firstLine="602" w:firstLineChars="200"/>
        <w:jc w:val="both"/>
        <w:textAlignment w:val="auto"/>
        <w:rPr>
          <w:b/>
          <w:kern w:val="2"/>
          <w:sz w:val="30"/>
          <w:szCs w:val="30"/>
        </w:rPr>
      </w:pPr>
      <w:r>
        <w:rPr>
          <w:rFonts w:hint="eastAsia"/>
          <w:b/>
          <w:kern w:val="2"/>
          <w:sz w:val="30"/>
          <w:szCs w:val="30"/>
          <w:lang w:val="en-US" w:bidi="ar"/>
        </w:rPr>
        <w:t>2、水文</w:t>
      </w:r>
    </w:p>
    <w:p>
      <w:pPr>
        <w:pStyle w:val="10"/>
        <w:pageBreakBefore w:val="0"/>
        <w:kinsoku/>
        <w:wordWrap/>
        <w:overflowPunct/>
        <w:topLinePunct w:val="0"/>
        <w:autoSpaceDE w:val="0"/>
        <w:autoSpaceDN w:val="0"/>
        <w:bidi w:val="0"/>
        <w:adjustRightInd/>
        <w:spacing w:line="600" w:lineRule="exact"/>
        <w:ind w:left="0" w:firstLine="600" w:firstLineChars="200"/>
        <w:jc w:val="both"/>
        <w:textAlignment w:val="auto"/>
        <w:rPr>
          <w:kern w:val="2"/>
          <w:sz w:val="30"/>
          <w:szCs w:val="30"/>
        </w:rPr>
      </w:pPr>
      <w:r>
        <w:rPr>
          <w:rFonts w:hint="eastAsia"/>
          <w:kern w:val="2"/>
          <w:sz w:val="30"/>
          <w:szCs w:val="30"/>
          <w:lang w:val="en-US" w:bidi="ar"/>
        </w:rPr>
        <w:t>矿区内无常年地表流水，发育的沟谷均为干沟，平时干枯无水，只有在雨季才形成短暂的洪流，向西流入黄河。</w:t>
      </w:r>
    </w:p>
    <w:p>
      <w:pPr>
        <w:pStyle w:val="4"/>
        <w:pageBreakBefore w:val="0"/>
        <w:widowControl/>
        <w:kinsoku/>
        <w:wordWrap/>
        <w:overflowPunct/>
        <w:topLinePunct w:val="0"/>
        <w:autoSpaceDE w:val="0"/>
        <w:autoSpaceDN w:val="0"/>
        <w:bidi w:val="0"/>
        <w:adjustRightInd/>
        <w:spacing w:before="0" w:after="0" w:line="600" w:lineRule="exact"/>
        <w:ind w:left="0" w:firstLine="602" w:firstLineChars="200"/>
        <w:textAlignment w:val="auto"/>
        <w:rPr>
          <w:kern w:val="2"/>
          <w:sz w:val="30"/>
          <w:szCs w:val="30"/>
        </w:rPr>
      </w:pPr>
      <w:bookmarkStart w:id="15" w:name="_Toc133146598"/>
      <w:bookmarkEnd w:id="15"/>
      <w:r>
        <w:rPr>
          <w:rFonts w:hint="eastAsia"/>
          <w:kern w:val="2"/>
          <w:sz w:val="30"/>
          <w:szCs w:val="30"/>
        </w:rPr>
        <w:t>三、 地形地貌</w:t>
      </w:r>
    </w:p>
    <w:p>
      <w:pPr>
        <w:pageBreakBefore w:val="0"/>
        <w:kinsoku/>
        <w:wordWrap/>
        <w:overflowPunct/>
        <w:topLinePunct w:val="0"/>
        <w:autoSpaceDE w:val="0"/>
        <w:autoSpaceDN w:val="0"/>
        <w:bidi w:val="0"/>
        <w:adjustRightInd/>
        <w:snapToGrid w:val="0"/>
        <w:spacing w:line="600" w:lineRule="exact"/>
        <w:ind w:left="0" w:firstLine="600" w:firstLineChars="200"/>
        <w:jc w:val="both"/>
        <w:textAlignment w:val="auto"/>
        <w:rPr>
          <w:kern w:val="2"/>
          <w:sz w:val="30"/>
          <w:szCs w:val="30"/>
        </w:rPr>
      </w:pPr>
      <w:r>
        <w:rPr>
          <w:rFonts w:hint="eastAsia"/>
          <w:kern w:val="2"/>
          <w:sz w:val="30"/>
          <w:szCs w:val="30"/>
          <w:lang w:val="en-US" w:bidi="ar"/>
        </w:rPr>
        <w:t xml:space="preserve">  1、地形</w:t>
      </w:r>
    </w:p>
    <w:p>
      <w:pPr>
        <w:pageBreakBefore w:val="0"/>
        <w:kinsoku/>
        <w:wordWrap/>
        <w:overflowPunct/>
        <w:topLinePunct w:val="0"/>
        <w:autoSpaceDE w:val="0"/>
        <w:autoSpaceDN w:val="0"/>
        <w:bidi w:val="0"/>
        <w:adjustRightInd/>
        <w:snapToGrid w:val="0"/>
        <w:spacing w:line="600" w:lineRule="exact"/>
        <w:ind w:left="0" w:firstLine="600" w:firstLineChars="200"/>
        <w:jc w:val="both"/>
        <w:textAlignment w:val="auto"/>
        <w:rPr>
          <w:kern w:val="2"/>
          <w:sz w:val="30"/>
          <w:szCs w:val="30"/>
        </w:rPr>
      </w:pPr>
      <w:r>
        <w:rPr>
          <w:rFonts w:hint="eastAsia"/>
          <w:kern w:val="2"/>
          <w:sz w:val="30"/>
          <w:szCs w:val="30"/>
          <w:lang w:val="en-US" w:bidi="ar"/>
        </w:rPr>
        <w:t>区内总体地势东高西低，最高点位于矿区东南端，海拔标高1294m，最低点位于矿区西北端，海拔标高1247m，相对标高差47 m左右。</w:t>
      </w:r>
    </w:p>
    <w:p>
      <w:pPr>
        <w:pageBreakBefore w:val="0"/>
        <w:kinsoku/>
        <w:wordWrap/>
        <w:overflowPunct/>
        <w:topLinePunct w:val="0"/>
        <w:autoSpaceDE w:val="0"/>
        <w:autoSpaceDN w:val="0"/>
        <w:bidi w:val="0"/>
        <w:adjustRightInd/>
        <w:snapToGrid w:val="0"/>
        <w:spacing w:line="600" w:lineRule="exact"/>
        <w:ind w:left="0" w:firstLine="600" w:firstLineChars="200"/>
        <w:jc w:val="both"/>
        <w:textAlignment w:val="auto"/>
        <w:rPr>
          <w:kern w:val="2"/>
          <w:sz w:val="30"/>
          <w:szCs w:val="30"/>
        </w:rPr>
      </w:pPr>
      <w:r>
        <w:rPr>
          <w:rFonts w:hint="eastAsia"/>
          <w:kern w:val="2"/>
          <w:sz w:val="30"/>
          <w:szCs w:val="30"/>
          <w:lang w:val="en-US" w:bidi="ar"/>
        </w:rPr>
        <w:t>2、地貌</w:t>
      </w:r>
    </w:p>
    <w:p>
      <w:pPr>
        <w:pageBreakBefore w:val="0"/>
        <w:kinsoku/>
        <w:wordWrap/>
        <w:overflowPunct/>
        <w:topLinePunct w:val="0"/>
        <w:autoSpaceDE w:val="0"/>
        <w:autoSpaceDN w:val="0"/>
        <w:bidi w:val="0"/>
        <w:adjustRightInd/>
        <w:spacing w:line="600" w:lineRule="exact"/>
        <w:ind w:left="0" w:firstLine="600" w:firstLineChars="200"/>
        <w:jc w:val="both"/>
        <w:textAlignment w:val="auto"/>
        <w:rPr>
          <w:kern w:val="2"/>
          <w:sz w:val="30"/>
          <w:szCs w:val="30"/>
        </w:rPr>
      </w:pPr>
      <w:r>
        <w:rPr>
          <w:rFonts w:hint="eastAsia"/>
          <w:kern w:val="2"/>
          <w:sz w:val="30"/>
          <w:szCs w:val="30"/>
          <w:lang w:val="en-US" w:bidi="ar"/>
        </w:rPr>
        <w:t>根据地貌形态特征，将矿区地貌划为丘陵。</w:t>
      </w:r>
    </w:p>
    <w:p>
      <w:pPr>
        <w:pageBreakBefore w:val="0"/>
        <w:kinsoku/>
        <w:wordWrap/>
        <w:overflowPunct/>
        <w:topLinePunct w:val="0"/>
        <w:autoSpaceDE w:val="0"/>
        <w:autoSpaceDN w:val="0"/>
        <w:bidi w:val="0"/>
        <w:adjustRightInd/>
        <w:spacing w:line="600" w:lineRule="exact"/>
        <w:ind w:left="0" w:firstLine="600" w:firstLineChars="200"/>
        <w:jc w:val="both"/>
        <w:textAlignment w:val="auto"/>
        <w:rPr>
          <w:kern w:val="2"/>
          <w:sz w:val="30"/>
          <w:szCs w:val="30"/>
        </w:rPr>
      </w:pPr>
      <w:r>
        <w:rPr>
          <w:rFonts w:ascii="Times New Roman" w:hAnsi="Times New Roman" w:cs="Times New Roman"/>
          <w:kern w:val="2"/>
          <w:sz w:val="30"/>
          <w:szCs w:val="30"/>
          <w:lang w:val="en-US" w:bidi="ar-SA"/>
        </w:rPr>
        <w:drawing>
          <wp:anchor distT="0" distB="0" distL="114300" distR="114300" simplePos="0" relativeHeight="251660288" behindDoc="0" locked="0" layoutInCell="1" allowOverlap="1">
            <wp:simplePos x="0" y="0"/>
            <wp:positionH relativeFrom="column">
              <wp:posOffset>2745740</wp:posOffset>
            </wp:positionH>
            <wp:positionV relativeFrom="paragraph">
              <wp:posOffset>1221740</wp:posOffset>
            </wp:positionV>
            <wp:extent cx="2514600" cy="1885950"/>
            <wp:effectExtent l="0" t="0" r="0" b="0"/>
            <wp:wrapTopAndBottom/>
            <wp:docPr id="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7"/>
                    <pic:cNvPicPr>
                      <a:picLocks noChangeAspect="1"/>
                    </pic:cNvPicPr>
                  </pic:nvPicPr>
                  <pic:blipFill>
                    <a:blip r:embed="rId8"/>
                    <a:stretch>
                      <a:fillRect/>
                    </a:stretch>
                  </pic:blipFill>
                  <pic:spPr>
                    <a:xfrm>
                      <a:off x="0" y="0"/>
                      <a:ext cx="2514600" cy="1885950"/>
                    </a:xfrm>
                    <a:prstGeom prst="rect">
                      <a:avLst/>
                    </a:prstGeom>
                    <a:noFill/>
                    <a:ln w="9525">
                      <a:noFill/>
                    </a:ln>
                  </pic:spPr>
                </pic:pic>
              </a:graphicData>
            </a:graphic>
          </wp:anchor>
        </w:drawing>
      </w:r>
      <w:r>
        <w:rPr>
          <w:rFonts w:hint="eastAsia"/>
          <w:kern w:val="2"/>
          <w:sz w:val="30"/>
          <w:szCs w:val="30"/>
          <w:lang w:val="en-US" w:bidi="ar"/>
        </w:rPr>
        <w:t>丘陵分布于整个矿区，海拔高度1294～1247 m之间，相对高差47m。丘陵呈近南北向展布，坡角30-60°，丘顶近于直立，形成陡崖，植被极不发育（见照片1、2）。</w:t>
      </w:r>
    </w:p>
    <w:p>
      <w:pPr>
        <w:ind w:firstLine="1050" w:firstLineChars="500"/>
        <w:jc w:val="both"/>
        <w:rPr>
          <w:kern w:val="2"/>
          <w:sz w:val="21"/>
          <w:szCs w:val="21"/>
        </w:rPr>
      </w:pPr>
      <w:r>
        <w:rPr>
          <w:rFonts w:ascii="Times New Roman" w:hAnsi="Times New Roman" w:cs="Times New Roman"/>
          <w:kern w:val="2"/>
          <w:sz w:val="21"/>
          <w:szCs w:val="21"/>
          <w:lang w:val="en-US" w:bidi="ar-SA"/>
        </w:rPr>
        <w:drawing>
          <wp:anchor distT="0" distB="0" distL="114300" distR="114300" simplePos="0" relativeHeight="251659264" behindDoc="0" locked="0" layoutInCell="1" allowOverlap="1">
            <wp:simplePos x="0" y="0"/>
            <wp:positionH relativeFrom="column">
              <wp:posOffset>-53340</wp:posOffset>
            </wp:positionH>
            <wp:positionV relativeFrom="paragraph">
              <wp:posOffset>61595</wp:posOffset>
            </wp:positionV>
            <wp:extent cx="2514600" cy="1885950"/>
            <wp:effectExtent l="0" t="0" r="0" b="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2514600" cy="1885950"/>
                    </a:xfrm>
                    <a:prstGeom prst="rect">
                      <a:avLst/>
                    </a:prstGeom>
                    <a:noFill/>
                    <a:ln w="9525">
                      <a:noFill/>
                    </a:ln>
                  </pic:spPr>
                </pic:pic>
              </a:graphicData>
            </a:graphic>
          </wp:anchor>
        </w:drawing>
      </w:r>
      <w:r>
        <w:rPr>
          <w:rFonts w:hint="eastAsia"/>
          <w:kern w:val="2"/>
          <w:sz w:val="21"/>
          <w:szCs w:val="21"/>
          <w:lang w:val="en-US" w:bidi="ar"/>
        </w:rPr>
        <w:t xml:space="preserve"> </w:t>
      </w:r>
    </w:p>
    <w:p>
      <w:pPr>
        <w:ind w:firstLine="1200" w:firstLineChars="500"/>
        <w:jc w:val="both"/>
        <w:rPr>
          <w:kern w:val="2"/>
          <w:sz w:val="24"/>
          <w:szCs w:val="24"/>
        </w:rPr>
      </w:pPr>
      <w:r>
        <w:rPr>
          <w:rFonts w:hint="eastAsia"/>
          <w:kern w:val="2"/>
          <w:sz w:val="24"/>
          <w:szCs w:val="24"/>
          <w:lang w:val="en-US" w:bidi="ar"/>
        </w:rPr>
        <w:t>照片1   丘陵                           照片</w:t>
      </w:r>
      <w:r>
        <w:rPr>
          <w:rFonts w:ascii="Times New Roman" w:hAnsi="Times New Roman" w:cs="Times New Roman"/>
          <w:kern w:val="2"/>
          <w:sz w:val="24"/>
          <w:szCs w:val="24"/>
          <w:lang w:val="en-US" w:bidi="ar"/>
        </w:rPr>
        <w:t xml:space="preserve">2   </w:t>
      </w:r>
      <w:r>
        <w:rPr>
          <w:rFonts w:hint="eastAsia"/>
          <w:kern w:val="2"/>
          <w:sz w:val="24"/>
          <w:szCs w:val="24"/>
          <w:lang w:val="en-US" w:bidi="ar"/>
        </w:rPr>
        <w:t>丘陵</w:t>
      </w:r>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jc w:val="both"/>
        <w:textAlignment w:val="auto"/>
        <w:rPr>
          <w:kern w:val="2"/>
          <w:sz w:val="30"/>
          <w:szCs w:val="30"/>
        </w:rPr>
      </w:pPr>
      <w:bookmarkStart w:id="16" w:name="_Toc98326263"/>
      <w:bookmarkEnd w:id="16"/>
      <w:r>
        <w:rPr>
          <w:rFonts w:hint="eastAsia"/>
          <w:kern w:val="2"/>
          <w:sz w:val="30"/>
          <w:szCs w:val="30"/>
        </w:rPr>
        <w:t>四、土壤、植被及土地利用现状</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1、土 壤</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区域内土壤为棕钙土，成土母质为石英砂岩，砂质泥页岩，炭质泥页岩、长石、砂砂石等风化后的残坡积物，在低洼处可见风积粉细砂，有机质含量普遍较低，土壤抗蚀力较弱。</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2、植 被</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由于地理、气象因素的影响，海南区属于荒漠草原化荒漠过渡地带，生态脆弱，植被类型简单，矿区的主要植被类型为荒漠草原、灌木荒漠及草甸植被类型，植物的生长呈明显的旱生形态，植株矮小，地下部人粗壮，根系发达直深，叶片狭小,主要天然植被有狭叶锦鸡儿,霸王、沙冬青、锚刺等。</w:t>
      </w:r>
    </w:p>
    <w:p>
      <w:pPr>
        <w:pStyle w:val="4"/>
        <w:pageBreakBefore w:val="0"/>
        <w:widowControl/>
        <w:kinsoku/>
        <w:wordWrap/>
        <w:overflowPunct/>
        <w:topLinePunct w:val="0"/>
        <w:autoSpaceDE w:val="0"/>
        <w:autoSpaceDN w:val="0"/>
        <w:bidi w:val="0"/>
        <w:adjustRightInd/>
        <w:snapToGrid/>
        <w:spacing w:before="0" w:after="0" w:line="600" w:lineRule="exact"/>
        <w:ind w:firstLine="600" w:firstLineChars="200"/>
        <w:jc w:val="both"/>
        <w:textAlignment w:val="auto"/>
        <w:rPr>
          <w:b w:val="0"/>
          <w:kern w:val="2"/>
          <w:sz w:val="30"/>
          <w:szCs w:val="30"/>
        </w:rPr>
      </w:pPr>
      <w:r>
        <w:rPr>
          <w:rFonts w:hint="eastAsia"/>
          <w:b w:val="0"/>
          <w:kern w:val="2"/>
          <w:sz w:val="30"/>
          <w:szCs w:val="30"/>
        </w:rPr>
        <w:t>3、土地利用现状</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本矿区的土地为半荒漠区，井田及附近无村庄及农业用地，故不存在迁村和占用耕地、林地、优良草场等问题。</w:t>
      </w:r>
    </w:p>
    <w:p>
      <w:pPr>
        <w:pageBreakBefore w:val="0"/>
        <w:kinsoku/>
        <w:wordWrap/>
        <w:overflowPunct/>
        <w:topLinePunct w:val="0"/>
        <w:autoSpaceDE w:val="0"/>
        <w:autoSpaceDN w:val="0"/>
        <w:bidi w:val="0"/>
        <w:adjustRightInd/>
        <w:snapToGrid/>
        <w:spacing w:line="600" w:lineRule="exact"/>
        <w:jc w:val="center"/>
        <w:textAlignment w:val="auto"/>
        <w:outlineLvl w:val="1"/>
        <w:rPr>
          <w:rFonts w:ascii="宋体" w:hAnsi="宋体" w:eastAsia="宋体"/>
          <w:b/>
          <w:color w:val="auto"/>
          <w:sz w:val="30"/>
          <w:szCs w:val="30"/>
        </w:rPr>
      </w:pPr>
      <w:bookmarkStart w:id="17" w:name="_Toc217874205"/>
      <w:bookmarkEnd w:id="17"/>
      <w:bookmarkStart w:id="18" w:name="_Toc21488"/>
      <w:r>
        <w:rPr>
          <w:rFonts w:hint="eastAsia" w:ascii="宋体" w:hAnsi="宋体" w:eastAsia="宋体"/>
          <w:b/>
          <w:color w:val="auto"/>
          <w:sz w:val="30"/>
          <w:szCs w:val="30"/>
        </w:rPr>
        <w:t xml:space="preserve">第二节 </w:t>
      </w:r>
      <w:r>
        <w:rPr>
          <w:rFonts w:hint="eastAsia" w:ascii="宋体" w:hAnsi="宋体" w:eastAsia="宋体"/>
          <w:b/>
          <w:color w:val="auto"/>
          <w:sz w:val="30"/>
          <w:szCs w:val="30"/>
          <w:lang w:val="en-US" w:eastAsia="zh-CN"/>
        </w:rPr>
        <w:t xml:space="preserve"> </w:t>
      </w:r>
      <w:r>
        <w:rPr>
          <w:rFonts w:hint="eastAsia" w:ascii="宋体" w:hAnsi="宋体" w:eastAsia="宋体"/>
          <w:b/>
          <w:color w:val="auto"/>
          <w:sz w:val="30"/>
          <w:szCs w:val="30"/>
        </w:rPr>
        <w:t xml:space="preserve"> 矿区地质条件</w:t>
      </w:r>
      <w:bookmarkEnd w:id="18"/>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b/>
          <w:kern w:val="2"/>
          <w:sz w:val="30"/>
          <w:szCs w:val="30"/>
        </w:rPr>
      </w:pPr>
      <w:r>
        <w:rPr>
          <w:rFonts w:hint="eastAsia"/>
          <w:kern w:val="2"/>
          <w:sz w:val="30"/>
          <w:szCs w:val="30"/>
          <w:lang w:val="en-US" w:bidi="ar"/>
        </w:rPr>
        <w:t xml:space="preserve"> </w:t>
      </w:r>
      <w:r>
        <w:rPr>
          <w:rFonts w:hint="eastAsia"/>
          <w:b/>
          <w:kern w:val="2"/>
          <w:sz w:val="30"/>
          <w:szCs w:val="30"/>
          <w:lang w:val="en-US" w:bidi="ar"/>
        </w:rPr>
        <w:t>一、地层、岩浆岩</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井田地表大部分为第四系风积沙覆盖，地层有古生界奥陶系、石炭系、二叠系和新生界等。根据钻孔揭露及区域地层资料，矿区地层由老至新有：</w:t>
      </w:r>
      <w:r>
        <w:rPr>
          <w:rFonts w:hint="eastAsia" w:ascii="Times New Roman" w:hAnsi="Times New Roman"/>
          <w:kern w:val="2"/>
          <w:sz w:val="30"/>
          <w:szCs w:val="30"/>
          <w:lang w:val="en-US" w:bidi="ar"/>
        </w:rPr>
        <w:t xml:space="preserve"> </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w:t>
      </w:r>
      <w:r>
        <w:rPr>
          <w:rFonts w:hint="eastAsia" w:ascii="Times New Roman" w:hAnsi="Times New Roman"/>
          <w:kern w:val="2"/>
          <w:sz w:val="30"/>
          <w:szCs w:val="30"/>
          <w:lang w:val="en-US" w:bidi="ar"/>
        </w:rPr>
        <w:t>1</w:t>
      </w:r>
      <w:r>
        <w:rPr>
          <w:rFonts w:hint="eastAsia"/>
          <w:kern w:val="2"/>
          <w:sz w:val="30"/>
          <w:szCs w:val="30"/>
          <w:lang w:val="en-US" w:bidi="ar"/>
        </w:rPr>
        <w:t>） 奥陶系（</w:t>
      </w:r>
      <w:r>
        <w:rPr>
          <w:rFonts w:ascii="Times New Roman" w:hAnsi="Times New Roman" w:cs="Times New Roman"/>
          <w:kern w:val="2"/>
          <w:sz w:val="30"/>
          <w:szCs w:val="30"/>
          <w:lang w:val="en-US" w:bidi="ar"/>
        </w:rPr>
        <w:t>O</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下统桌子山组</w:t>
      </w:r>
      <w:r>
        <w:rPr>
          <w:rFonts w:hint="eastAsia" w:ascii="Times New Roman" w:hAnsi="Times New Roman"/>
          <w:kern w:val="2"/>
          <w:sz w:val="30"/>
          <w:szCs w:val="30"/>
          <w:lang w:val="en-US" w:bidi="ar"/>
        </w:rPr>
        <w:t>(O</w:t>
      </w:r>
      <w:r>
        <w:rPr>
          <w:rFonts w:ascii="Times New Roman" w:hAnsi="Times New Roman" w:cs="Times New Roman"/>
          <w:kern w:val="2"/>
          <w:sz w:val="30"/>
          <w:szCs w:val="30"/>
          <w:lang w:val="en-US" w:bidi="ar"/>
        </w:rPr>
        <w:t xml:space="preserve"> 2 1</w:t>
      </w:r>
      <w:r>
        <w:rPr>
          <w:rFonts w:hint="eastAsia" w:ascii="Times New Roman" w:hAnsi="Times New Roman"/>
          <w:kern w:val="2"/>
          <w:sz w:val="30"/>
          <w:szCs w:val="30"/>
          <w:lang w:val="en-US" w:bidi="ar"/>
        </w:rPr>
        <w:t>)</w:t>
      </w:r>
      <w:r>
        <w:rPr>
          <w:rFonts w:hint="eastAsia"/>
          <w:kern w:val="2"/>
          <w:sz w:val="30"/>
          <w:szCs w:val="30"/>
          <w:lang w:val="en-US" w:bidi="ar"/>
        </w:rPr>
        <w:t>：矿区内仅有少数钻孔揭露该组地层上部</w:t>
      </w:r>
      <w:r>
        <w:rPr>
          <w:rFonts w:ascii="Times New Roman" w:hAnsi="Times New Roman" w:cs="Times New Roman"/>
          <w:kern w:val="2"/>
          <w:sz w:val="30"/>
          <w:szCs w:val="30"/>
          <w:lang w:val="en-US" w:bidi="ar"/>
        </w:rPr>
        <w:t>,</w:t>
      </w:r>
      <w:r>
        <w:rPr>
          <w:rFonts w:hint="eastAsia"/>
          <w:kern w:val="2"/>
          <w:sz w:val="30"/>
          <w:szCs w:val="30"/>
          <w:lang w:val="en-US" w:bidi="ar"/>
        </w:rPr>
        <w:t>据区域地层资料</w:t>
      </w:r>
      <w:r>
        <w:rPr>
          <w:rFonts w:ascii="Times New Roman" w:hAnsi="Times New Roman" w:cs="Times New Roman"/>
          <w:kern w:val="2"/>
          <w:sz w:val="30"/>
          <w:szCs w:val="30"/>
          <w:lang w:val="en-US" w:bidi="ar"/>
        </w:rPr>
        <w:t>,</w:t>
      </w:r>
      <w:r>
        <w:rPr>
          <w:rFonts w:hint="eastAsia"/>
          <w:kern w:val="2"/>
          <w:sz w:val="30"/>
          <w:szCs w:val="30"/>
          <w:lang w:val="en-US" w:bidi="ar"/>
        </w:rPr>
        <w:t>该组地层厚度大于</w:t>
      </w:r>
      <w:r>
        <w:rPr>
          <w:rFonts w:ascii="Times New Roman" w:hAnsi="Times New Roman" w:cs="Times New Roman"/>
          <w:kern w:val="2"/>
          <w:sz w:val="30"/>
          <w:szCs w:val="30"/>
          <w:lang w:val="en-US" w:bidi="ar"/>
        </w:rPr>
        <w:t>300m</w:t>
      </w:r>
      <w:r>
        <w:rPr>
          <w:rFonts w:hint="eastAsia" w:ascii="Times New Roman" w:hAnsi="Times New Roman"/>
          <w:kern w:val="2"/>
          <w:sz w:val="30"/>
          <w:szCs w:val="30"/>
          <w:lang w:val="en-US" w:bidi="ar"/>
        </w:rPr>
        <w:t>,</w:t>
      </w:r>
      <w:r>
        <w:rPr>
          <w:rFonts w:hint="eastAsia"/>
          <w:kern w:val="2"/>
          <w:sz w:val="30"/>
          <w:szCs w:val="30"/>
          <w:lang w:val="en-US" w:bidi="ar"/>
        </w:rPr>
        <w:t>岩性为兰灰色、厚层状生物碎屑灰岩。与下伏三道坎组整合接触。为石炭二叠系煤系地层基底。</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w:t>
      </w:r>
      <w:r>
        <w:rPr>
          <w:rFonts w:hint="eastAsia" w:ascii="Times New Roman" w:hAnsi="Times New Roman"/>
          <w:kern w:val="2"/>
          <w:sz w:val="30"/>
          <w:szCs w:val="30"/>
          <w:lang w:val="en-US" w:bidi="ar"/>
        </w:rPr>
        <w:t>2</w:t>
      </w:r>
      <w:r>
        <w:rPr>
          <w:rFonts w:hint="eastAsia"/>
          <w:kern w:val="2"/>
          <w:sz w:val="30"/>
          <w:szCs w:val="30"/>
          <w:lang w:val="en-US" w:bidi="ar"/>
        </w:rPr>
        <w:t>） 石炭系（</w:t>
      </w:r>
      <w:r>
        <w:rPr>
          <w:rFonts w:ascii="Times New Roman" w:hAnsi="Times New Roman" w:cs="Times New Roman"/>
          <w:kern w:val="2"/>
          <w:sz w:val="30"/>
          <w:szCs w:val="30"/>
          <w:lang w:val="en-US" w:bidi="ar"/>
        </w:rPr>
        <w:t>C</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上统本溪组（</w:t>
      </w:r>
      <w:r>
        <w:rPr>
          <w:rFonts w:hint="eastAsia" w:ascii="Times New Roman" w:hAnsi="Times New Roman"/>
          <w:kern w:val="2"/>
          <w:sz w:val="30"/>
          <w:szCs w:val="30"/>
          <w:lang w:val="en-US" w:bidi="ar"/>
        </w:rPr>
        <w:t>C</w:t>
      </w:r>
      <w:r>
        <w:rPr>
          <w:rFonts w:hint="eastAsia" w:ascii="Times New Roman" w:hAnsi="Times New Roman"/>
          <w:kern w:val="2"/>
          <w:sz w:val="30"/>
          <w:szCs w:val="30"/>
          <w:vertAlign w:val="subscript"/>
          <w:lang w:val="en-US" w:bidi="ar"/>
        </w:rPr>
        <w:t>2</w:t>
      </w:r>
      <w:r>
        <w:rPr>
          <w:rFonts w:ascii="Times New Roman" w:hAnsi="Times New Roman" w:cs="Times New Roman"/>
          <w:kern w:val="2"/>
          <w:sz w:val="30"/>
          <w:szCs w:val="30"/>
          <w:vertAlign w:val="subscript"/>
          <w:lang w:val="en-US" w:bidi="ar"/>
        </w:rPr>
        <w:t>b</w:t>
      </w:r>
      <w:r>
        <w:rPr>
          <w:rFonts w:hint="eastAsia"/>
          <w:kern w:val="2"/>
          <w:sz w:val="30"/>
          <w:szCs w:val="30"/>
          <w:lang w:val="en-US" w:bidi="ar"/>
        </w:rPr>
        <w:t>）：</w:t>
      </w:r>
      <w:r>
        <w:rPr>
          <w:rFonts w:hint="eastAsia" w:ascii="Times New Roman" w:hAnsi="Times New Roman"/>
          <w:kern w:val="2"/>
          <w:sz w:val="30"/>
          <w:szCs w:val="30"/>
          <w:lang w:val="en-US" w:bidi="ar"/>
        </w:rPr>
        <w:t xml:space="preserve"> </w:t>
      </w:r>
      <w:r>
        <w:rPr>
          <w:rFonts w:hint="eastAsia"/>
          <w:kern w:val="2"/>
          <w:sz w:val="30"/>
          <w:szCs w:val="30"/>
          <w:lang w:val="en-US" w:bidi="ar"/>
        </w:rPr>
        <w:t>矿区内钻孔揭露厚度</w:t>
      </w:r>
      <w:r>
        <w:rPr>
          <w:rFonts w:hint="eastAsia" w:ascii="Times New Roman" w:hAnsi="Times New Roman"/>
          <w:kern w:val="2"/>
          <w:sz w:val="30"/>
          <w:szCs w:val="30"/>
          <w:lang w:val="en-US" w:bidi="ar"/>
        </w:rPr>
        <w:t>3</w:t>
      </w:r>
      <w:r>
        <w:rPr>
          <w:rFonts w:hint="eastAsia"/>
          <w:kern w:val="2"/>
          <w:sz w:val="30"/>
          <w:szCs w:val="30"/>
          <w:lang w:val="en-US" w:bidi="ar"/>
        </w:rPr>
        <w:t>～</w:t>
      </w:r>
      <w:r>
        <w:rPr>
          <w:rFonts w:ascii="Times New Roman" w:hAnsi="Times New Roman" w:cs="Times New Roman"/>
          <w:kern w:val="2"/>
          <w:sz w:val="30"/>
          <w:szCs w:val="30"/>
          <w:lang w:val="en-US" w:bidi="ar"/>
        </w:rPr>
        <w:t>21m</w:t>
      </w:r>
      <w:r>
        <w:rPr>
          <w:rFonts w:hint="eastAsia"/>
          <w:kern w:val="2"/>
          <w:sz w:val="30"/>
          <w:szCs w:val="30"/>
          <w:lang w:val="en-US" w:bidi="ar"/>
        </w:rPr>
        <w:t>，平均</w:t>
      </w:r>
      <w:r>
        <w:rPr>
          <w:rFonts w:hint="eastAsia" w:ascii="Times New Roman" w:hAnsi="Times New Roman"/>
          <w:kern w:val="2"/>
          <w:sz w:val="30"/>
          <w:szCs w:val="30"/>
          <w:lang w:val="en-US" w:bidi="ar"/>
        </w:rPr>
        <w:t>9</w:t>
      </w:r>
      <w:r>
        <w:rPr>
          <w:rFonts w:ascii="Times New Roman" w:hAnsi="Times New Roman" w:cs="Times New Roman"/>
          <w:kern w:val="2"/>
          <w:sz w:val="30"/>
          <w:szCs w:val="30"/>
          <w:lang w:val="en-US" w:bidi="ar"/>
        </w:rPr>
        <w:t>.50m</w:t>
      </w:r>
      <w:r>
        <w:rPr>
          <w:rFonts w:hint="eastAsia"/>
          <w:kern w:val="2"/>
          <w:sz w:val="30"/>
          <w:szCs w:val="30"/>
          <w:lang w:val="en-US" w:bidi="ar"/>
        </w:rPr>
        <w:t>，揭露厚度不全，据区内五个见奥陶系灰岩的钻孔统计，厚度</w:t>
      </w:r>
      <w:r>
        <w:rPr>
          <w:rFonts w:hint="eastAsia" w:ascii="Times New Roman" w:hAnsi="Times New Roman"/>
          <w:kern w:val="2"/>
          <w:sz w:val="30"/>
          <w:szCs w:val="30"/>
          <w:lang w:val="en-US" w:bidi="ar"/>
        </w:rPr>
        <w:t>11</w:t>
      </w:r>
      <w:r>
        <w:rPr>
          <w:rFonts w:hint="eastAsia"/>
          <w:kern w:val="2"/>
          <w:sz w:val="30"/>
          <w:szCs w:val="30"/>
          <w:lang w:val="en-US" w:bidi="ar"/>
        </w:rPr>
        <w:t>～</w:t>
      </w:r>
      <w:r>
        <w:rPr>
          <w:rFonts w:ascii="Times New Roman" w:hAnsi="Times New Roman" w:cs="Times New Roman"/>
          <w:kern w:val="2"/>
          <w:sz w:val="30"/>
          <w:szCs w:val="30"/>
          <w:lang w:val="en-US" w:bidi="ar"/>
        </w:rPr>
        <w:t>21m</w:t>
      </w:r>
      <w:r>
        <w:rPr>
          <w:rFonts w:hint="eastAsia"/>
          <w:kern w:val="2"/>
          <w:sz w:val="30"/>
          <w:szCs w:val="30"/>
          <w:lang w:val="en-US" w:bidi="ar"/>
        </w:rPr>
        <w:t>，平均</w:t>
      </w:r>
      <w:r>
        <w:rPr>
          <w:rFonts w:ascii="Times New Roman" w:hAnsi="Times New Roman" w:cs="Times New Roman"/>
          <w:kern w:val="2"/>
          <w:sz w:val="30"/>
          <w:szCs w:val="30"/>
          <w:lang w:val="en-US" w:bidi="ar"/>
        </w:rPr>
        <w:t>16.20m</w:t>
      </w:r>
      <w:r>
        <w:rPr>
          <w:rFonts w:hint="eastAsia"/>
          <w:kern w:val="2"/>
          <w:sz w:val="30"/>
          <w:szCs w:val="30"/>
          <w:lang w:val="en-US" w:bidi="ar"/>
        </w:rPr>
        <w:t>，岩性以灰白色致密坚硬的石英砂岩及薄层灰黑色泥岩组成，局部地段底部见褐铁矿。与下伏奥陶系呈平行不整合接触。</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上统太原组（</w:t>
      </w:r>
      <w:r>
        <w:rPr>
          <w:rFonts w:hint="eastAsia" w:ascii="Times New Roman" w:hAnsi="Times New Roman"/>
          <w:kern w:val="2"/>
          <w:sz w:val="30"/>
          <w:szCs w:val="30"/>
          <w:lang w:val="en-US" w:bidi="ar"/>
        </w:rPr>
        <w:t>C</w:t>
      </w:r>
      <w:r>
        <w:rPr>
          <w:rFonts w:hint="eastAsia" w:ascii="Times New Roman" w:hAnsi="Times New Roman"/>
          <w:kern w:val="2"/>
          <w:sz w:val="30"/>
          <w:szCs w:val="30"/>
          <w:vertAlign w:val="subscript"/>
          <w:lang w:val="en-US" w:bidi="ar"/>
        </w:rPr>
        <w:t>2</w:t>
      </w:r>
      <w:r>
        <w:rPr>
          <w:rFonts w:ascii="Times New Roman" w:hAnsi="Times New Roman" w:cs="Times New Roman"/>
          <w:kern w:val="2"/>
          <w:sz w:val="30"/>
          <w:szCs w:val="30"/>
          <w:vertAlign w:val="subscript"/>
          <w:lang w:val="en-US" w:bidi="ar"/>
        </w:rPr>
        <w:t>t</w:t>
      </w:r>
      <w:r>
        <w:rPr>
          <w:rFonts w:hint="eastAsia"/>
          <w:kern w:val="2"/>
          <w:sz w:val="30"/>
          <w:szCs w:val="30"/>
          <w:lang w:val="en-US" w:bidi="ar"/>
        </w:rPr>
        <w:t>）：</w:t>
      </w:r>
      <w:r>
        <w:rPr>
          <w:rFonts w:hint="eastAsia" w:ascii="Times New Roman" w:hAnsi="Times New Roman"/>
          <w:kern w:val="2"/>
          <w:sz w:val="30"/>
          <w:szCs w:val="30"/>
          <w:lang w:val="en-US" w:bidi="ar"/>
        </w:rPr>
        <w:t xml:space="preserve"> </w:t>
      </w:r>
      <w:r>
        <w:rPr>
          <w:rFonts w:hint="eastAsia"/>
          <w:kern w:val="2"/>
          <w:sz w:val="30"/>
          <w:szCs w:val="30"/>
          <w:lang w:val="en-US" w:bidi="ar"/>
        </w:rPr>
        <w:t>为矿区主要含煤地层之一，其岩性组合上部以灰黑色、灰色砂泥岩、泥岩为主，夹灰白色细粒砂岩，含动物化石及黄铁矿结核，含</w:t>
      </w:r>
      <w:r>
        <w:rPr>
          <w:rFonts w:hint="eastAsia" w:ascii="Times New Roman" w:hAnsi="Times New Roman"/>
          <w:kern w:val="2"/>
          <w:sz w:val="30"/>
          <w:szCs w:val="30"/>
          <w:lang w:val="en-US" w:bidi="ar"/>
        </w:rPr>
        <w:t>11</w:t>
      </w:r>
      <w:r>
        <w:rPr>
          <w:rFonts w:hint="eastAsia"/>
          <w:kern w:val="2"/>
          <w:sz w:val="30"/>
          <w:szCs w:val="30"/>
          <w:lang w:val="en-US" w:bidi="ar"/>
        </w:rPr>
        <w:t>、</w:t>
      </w:r>
      <w:r>
        <w:rPr>
          <w:rFonts w:ascii="Times New Roman" w:hAnsi="Times New Roman" w:cs="Times New Roman"/>
          <w:kern w:val="2"/>
          <w:sz w:val="30"/>
          <w:szCs w:val="30"/>
          <w:lang w:val="en-US" w:bidi="ar"/>
        </w:rPr>
        <w:t>12</w:t>
      </w:r>
      <w:r>
        <w:rPr>
          <w:rFonts w:hint="eastAsia"/>
          <w:kern w:val="2"/>
          <w:sz w:val="30"/>
          <w:szCs w:val="30"/>
          <w:lang w:val="en-US" w:bidi="ar"/>
        </w:rPr>
        <w:t>、</w:t>
      </w:r>
      <w:r>
        <w:rPr>
          <w:rFonts w:ascii="Times New Roman" w:hAnsi="Times New Roman" w:cs="Times New Roman"/>
          <w:kern w:val="2"/>
          <w:sz w:val="30"/>
          <w:szCs w:val="30"/>
          <w:lang w:val="en-US" w:bidi="ar"/>
        </w:rPr>
        <w:t>13</w:t>
      </w:r>
      <w:r>
        <w:rPr>
          <w:rFonts w:hint="eastAsia"/>
          <w:kern w:val="2"/>
          <w:sz w:val="30"/>
          <w:szCs w:val="30"/>
          <w:lang w:val="en-US" w:bidi="ar"/>
        </w:rPr>
        <w:t>号煤层，下部为深灰色砂质泥岩及灰白色中、细粒砂岩，砂岩中一般含</w:t>
      </w:r>
      <w:r>
        <w:rPr>
          <w:rFonts w:ascii="Times New Roman" w:hAnsi="Times New Roman" w:cs="Times New Roman"/>
          <w:kern w:val="2"/>
          <w:sz w:val="30"/>
          <w:szCs w:val="30"/>
          <w:lang w:val="en-US" w:bidi="ar"/>
        </w:rPr>
        <w:t>1</w:t>
      </w:r>
      <w:r>
        <w:rPr>
          <w:rFonts w:hint="eastAsia"/>
          <w:kern w:val="2"/>
          <w:sz w:val="30"/>
          <w:szCs w:val="30"/>
          <w:lang w:val="en-US" w:bidi="ar"/>
        </w:rPr>
        <w:t>～</w:t>
      </w:r>
      <w:r>
        <w:rPr>
          <w:rFonts w:ascii="Times New Roman" w:hAnsi="Times New Roman" w:cs="Times New Roman"/>
          <w:kern w:val="2"/>
          <w:sz w:val="30"/>
          <w:szCs w:val="30"/>
          <w:lang w:val="en-US" w:bidi="ar"/>
        </w:rPr>
        <w:t>2</w:t>
      </w:r>
      <w:r>
        <w:rPr>
          <w:rFonts w:hint="eastAsia"/>
          <w:kern w:val="2"/>
          <w:sz w:val="30"/>
          <w:szCs w:val="30"/>
          <w:lang w:val="en-US" w:bidi="ar"/>
        </w:rPr>
        <w:t>层深灰色粘土岩，含</w:t>
      </w:r>
      <w:r>
        <w:rPr>
          <w:rFonts w:ascii="Times New Roman" w:hAnsi="Times New Roman" w:cs="Times New Roman"/>
          <w:kern w:val="2"/>
          <w:sz w:val="30"/>
          <w:szCs w:val="30"/>
          <w:lang w:val="en-US" w:bidi="ar"/>
        </w:rPr>
        <w:t>14</w:t>
      </w:r>
      <w:r>
        <w:rPr>
          <w:rFonts w:hint="eastAsia"/>
          <w:kern w:val="2"/>
          <w:sz w:val="30"/>
          <w:szCs w:val="30"/>
          <w:lang w:val="en-US" w:bidi="ar"/>
        </w:rPr>
        <w:t>、</w:t>
      </w:r>
      <w:r>
        <w:rPr>
          <w:rFonts w:ascii="Times New Roman" w:hAnsi="Times New Roman" w:cs="Times New Roman"/>
          <w:kern w:val="2"/>
          <w:sz w:val="30"/>
          <w:szCs w:val="30"/>
          <w:lang w:val="en-US" w:bidi="ar"/>
        </w:rPr>
        <w:t>15</w:t>
      </w:r>
      <w:r>
        <w:rPr>
          <w:rFonts w:hint="eastAsia"/>
          <w:kern w:val="2"/>
          <w:sz w:val="30"/>
          <w:szCs w:val="30"/>
          <w:lang w:val="en-US" w:bidi="ar"/>
        </w:rPr>
        <w:t>、</w:t>
      </w:r>
      <w:r>
        <w:rPr>
          <w:rFonts w:ascii="Times New Roman" w:hAnsi="Times New Roman" w:cs="Times New Roman"/>
          <w:kern w:val="2"/>
          <w:sz w:val="30"/>
          <w:szCs w:val="30"/>
          <w:lang w:val="en-US" w:bidi="ar"/>
        </w:rPr>
        <w:t>16</w:t>
      </w:r>
      <w:r>
        <w:rPr>
          <w:rFonts w:hint="eastAsia"/>
          <w:kern w:val="2"/>
          <w:sz w:val="30"/>
          <w:szCs w:val="30"/>
          <w:lang w:val="en-US" w:bidi="ar"/>
        </w:rPr>
        <w:t>、</w:t>
      </w:r>
      <w:r>
        <w:rPr>
          <w:rFonts w:ascii="Times New Roman" w:hAnsi="Times New Roman" w:cs="Times New Roman"/>
          <w:kern w:val="2"/>
          <w:sz w:val="30"/>
          <w:szCs w:val="30"/>
          <w:lang w:val="en-US" w:bidi="ar"/>
        </w:rPr>
        <w:t>17</w:t>
      </w:r>
      <w:r>
        <w:rPr>
          <w:rFonts w:hint="eastAsia"/>
          <w:kern w:val="2"/>
          <w:sz w:val="30"/>
          <w:szCs w:val="30"/>
          <w:lang w:val="en-US" w:bidi="ar"/>
        </w:rPr>
        <w:t>号煤层。依据岩性组合及沉积旋回特征将本组地层划分为两个岩段，总厚度</w:t>
      </w:r>
      <w:r>
        <w:rPr>
          <w:rFonts w:ascii="Times New Roman" w:hAnsi="Times New Roman" w:cs="Times New Roman"/>
          <w:kern w:val="2"/>
          <w:sz w:val="30"/>
          <w:szCs w:val="30"/>
          <w:lang w:val="en-US" w:bidi="ar"/>
        </w:rPr>
        <w:t>59.80</w:t>
      </w:r>
      <w:r>
        <w:rPr>
          <w:rFonts w:hint="eastAsia"/>
          <w:kern w:val="2"/>
          <w:sz w:val="30"/>
          <w:szCs w:val="30"/>
          <w:lang w:val="en-US" w:bidi="ar"/>
        </w:rPr>
        <w:t>～</w:t>
      </w:r>
      <w:r>
        <w:rPr>
          <w:rFonts w:ascii="Times New Roman" w:hAnsi="Times New Roman" w:cs="Times New Roman"/>
          <w:kern w:val="2"/>
          <w:sz w:val="30"/>
          <w:szCs w:val="30"/>
          <w:lang w:val="en-US" w:bidi="ar"/>
        </w:rPr>
        <w:t>86.31m</w:t>
      </w:r>
      <w:r>
        <w:rPr>
          <w:rFonts w:hint="eastAsia"/>
          <w:kern w:val="2"/>
          <w:sz w:val="30"/>
          <w:szCs w:val="30"/>
          <w:lang w:val="en-US" w:bidi="ar"/>
        </w:rPr>
        <w:t>，平均</w:t>
      </w:r>
      <w:r>
        <w:rPr>
          <w:rFonts w:ascii="Times New Roman" w:hAnsi="Times New Roman" w:cs="Times New Roman"/>
          <w:kern w:val="2"/>
          <w:sz w:val="30"/>
          <w:szCs w:val="30"/>
          <w:lang w:val="en-US" w:bidi="ar"/>
        </w:rPr>
        <w:t>68.31mm</w:t>
      </w:r>
      <w:r>
        <w:rPr>
          <w:rFonts w:hint="eastAsia"/>
          <w:kern w:val="2"/>
          <w:sz w:val="30"/>
          <w:szCs w:val="30"/>
          <w:lang w:val="en-US" w:bidi="ar"/>
        </w:rPr>
        <w:t>，与下伏本溪组呈平行不整合接触。</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w:t>
      </w:r>
      <w:r>
        <w:rPr>
          <w:rFonts w:hint="eastAsia" w:ascii="Times New Roman" w:hAnsi="Times New Roman"/>
          <w:kern w:val="2"/>
          <w:sz w:val="30"/>
          <w:szCs w:val="30"/>
          <w:lang w:val="en-US" w:bidi="ar"/>
        </w:rPr>
        <w:t>3</w:t>
      </w:r>
      <w:r>
        <w:rPr>
          <w:rFonts w:hint="eastAsia"/>
          <w:kern w:val="2"/>
          <w:sz w:val="30"/>
          <w:szCs w:val="30"/>
          <w:lang w:val="en-US" w:bidi="ar"/>
        </w:rPr>
        <w:t>） 二叠系（</w:t>
      </w:r>
      <w:r>
        <w:rPr>
          <w:rFonts w:ascii="Times New Roman" w:hAnsi="Times New Roman" w:cs="Times New Roman"/>
          <w:kern w:val="2"/>
          <w:sz w:val="30"/>
          <w:szCs w:val="30"/>
          <w:lang w:val="en-US" w:bidi="ar"/>
        </w:rPr>
        <w:t>P</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spacing w:val="-6"/>
          <w:kern w:val="2"/>
          <w:sz w:val="30"/>
          <w:szCs w:val="30"/>
        </w:rPr>
      </w:pPr>
      <w:r>
        <w:rPr>
          <w:rFonts w:hint="eastAsia"/>
          <w:kern w:val="2"/>
          <w:sz w:val="30"/>
          <w:szCs w:val="30"/>
          <w:lang w:val="en-US" w:bidi="ar"/>
        </w:rPr>
        <w:t>下统山西组（</w:t>
      </w:r>
      <w:r>
        <w:rPr>
          <w:rFonts w:hint="eastAsia" w:ascii="Times New Roman" w:hAnsi="Times New Roman"/>
          <w:kern w:val="2"/>
          <w:sz w:val="30"/>
          <w:szCs w:val="30"/>
          <w:lang w:val="en-US" w:bidi="ar"/>
        </w:rPr>
        <w:t>P</w:t>
      </w:r>
      <w:r>
        <w:rPr>
          <w:rFonts w:hint="eastAsia" w:ascii="Times New Roman" w:hAnsi="Times New Roman"/>
          <w:kern w:val="2"/>
          <w:sz w:val="30"/>
          <w:szCs w:val="30"/>
          <w:vertAlign w:val="subscript"/>
          <w:lang w:val="en-US" w:bidi="ar"/>
        </w:rPr>
        <w:t>1S</w:t>
      </w:r>
      <w:r>
        <w:rPr>
          <w:rFonts w:hint="eastAsia"/>
          <w:kern w:val="2"/>
          <w:sz w:val="30"/>
          <w:szCs w:val="30"/>
          <w:lang w:val="en-US" w:bidi="ar"/>
        </w:rPr>
        <w:t>）：</w:t>
      </w:r>
      <w:r>
        <w:rPr>
          <w:rFonts w:hint="eastAsia" w:ascii="Times New Roman" w:hAnsi="Times New Roman"/>
          <w:kern w:val="2"/>
          <w:sz w:val="30"/>
          <w:szCs w:val="30"/>
          <w:lang w:val="en-US" w:bidi="ar"/>
        </w:rPr>
        <w:t xml:space="preserve"> </w:t>
      </w:r>
      <w:r>
        <w:rPr>
          <w:rFonts w:hint="eastAsia"/>
          <w:spacing w:val="-6"/>
          <w:kern w:val="2"/>
          <w:sz w:val="30"/>
          <w:szCs w:val="30"/>
          <w:lang w:val="en-US" w:bidi="ar"/>
        </w:rPr>
        <w:t>为矿区主要含煤地层之一，矿区内无出露，钻孔揭露厚度</w:t>
      </w:r>
      <w:r>
        <w:rPr>
          <w:rFonts w:hint="eastAsia" w:ascii="Times New Roman" w:hAnsi="Times New Roman"/>
          <w:spacing w:val="-6"/>
          <w:kern w:val="2"/>
          <w:sz w:val="30"/>
          <w:szCs w:val="30"/>
          <w:lang w:val="en-US" w:bidi="ar"/>
        </w:rPr>
        <w:t>80</w:t>
      </w:r>
      <w:r>
        <w:rPr>
          <w:rFonts w:hint="eastAsia"/>
          <w:spacing w:val="-6"/>
          <w:kern w:val="2"/>
          <w:sz w:val="30"/>
          <w:szCs w:val="30"/>
          <w:lang w:val="en-US" w:bidi="ar"/>
        </w:rPr>
        <w:t>～</w:t>
      </w:r>
      <w:r>
        <w:rPr>
          <w:rFonts w:ascii="Times New Roman" w:hAnsi="Times New Roman" w:cs="Times New Roman"/>
          <w:spacing w:val="-6"/>
          <w:kern w:val="2"/>
          <w:sz w:val="30"/>
          <w:szCs w:val="30"/>
          <w:lang w:val="en-US" w:bidi="ar"/>
        </w:rPr>
        <w:t>132m</w:t>
      </w:r>
      <w:r>
        <w:rPr>
          <w:rFonts w:hint="eastAsia"/>
          <w:spacing w:val="-6"/>
          <w:kern w:val="2"/>
          <w:sz w:val="30"/>
          <w:szCs w:val="30"/>
          <w:lang w:val="en-US" w:bidi="ar"/>
        </w:rPr>
        <w:t>，平均</w:t>
      </w:r>
      <w:r>
        <w:rPr>
          <w:rFonts w:ascii="Times New Roman" w:hAnsi="Times New Roman" w:cs="Times New Roman"/>
          <w:spacing w:val="-6"/>
          <w:kern w:val="2"/>
          <w:sz w:val="30"/>
          <w:szCs w:val="30"/>
          <w:lang w:val="en-US" w:bidi="ar"/>
        </w:rPr>
        <w:t>111.77m</w:t>
      </w:r>
      <w:r>
        <w:rPr>
          <w:rFonts w:hint="eastAsia"/>
          <w:spacing w:val="-6"/>
          <w:kern w:val="2"/>
          <w:sz w:val="30"/>
          <w:szCs w:val="30"/>
          <w:lang w:val="en-US" w:bidi="ar"/>
        </w:rPr>
        <w:t>，岩性组合上、中部以灰白、灰黑色砂岩，砂泥岩、泥岩及煤层组成，下部为灰～灰黑色粘土岩、砂质泥岩及煤层，富含动物化石，含</w:t>
      </w:r>
      <w:r>
        <w:rPr>
          <w:rFonts w:hint="eastAsia" w:ascii="Times New Roman" w:hAnsi="Times New Roman"/>
          <w:spacing w:val="-6"/>
          <w:kern w:val="2"/>
          <w:sz w:val="30"/>
          <w:szCs w:val="30"/>
          <w:lang w:val="en-US" w:bidi="ar"/>
        </w:rPr>
        <w:t>2</w:t>
      </w:r>
      <w:r>
        <w:rPr>
          <w:rFonts w:hint="eastAsia"/>
          <w:spacing w:val="-6"/>
          <w:kern w:val="2"/>
          <w:sz w:val="30"/>
          <w:szCs w:val="30"/>
          <w:lang w:val="en-US" w:bidi="ar"/>
        </w:rPr>
        <w:t>～</w:t>
      </w:r>
      <w:r>
        <w:rPr>
          <w:rFonts w:ascii="Times New Roman" w:hAnsi="Times New Roman" w:cs="Times New Roman"/>
          <w:spacing w:val="-6"/>
          <w:kern w:val="2"/>
          <w:sz w:val="30"/>
          <w:szCs w:val="30"/>
          <w:lang w:val="en-US" w:bidi="ar"/>
        </w:rPr>
        <w:t>10</w:t>
      </w:r>
      <w:r>
        <w:rPr>
          <w:rFonts w:hint="eastAsia"/>
          <w:spacing w:val="-6"/>
          <w:kern w:val="2"/>
          <w:sz w:val="30"/>
          <w:szCs w:val="30"/>
          <w:lang w:val="en-US" w:bidi="ar"/>
        </w:rPr>
        <w:t>号煤层，依据岩性组合及沉积旋回特征，将该组划分为四个岩段。与下伏太原组呈整合接触。</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下统下石盒子组（</w:t>
      </w:r>
      <w:r>
        <w:rPr>
          <w:rFonts w:hint="eastAsia" w:ascii="Times New Roman" w:hAnsi="Times New Roman"/>
          <w:kern w:val="2"/>
          <w:sz w:val="30"/>
          <w:szCs w:val="30"/>
          <w:lang w:val="en-US" w:bidi="ar"/>
        </w:rPr>
        <w:t>P</w:t>
      </w:r>
      <w:r>
        <w:rPr>
          <w:rFonts w:hint="eastAsia" w:ascii="Times New Roman" w:hAnsi="Times New Roman"/>
          <w:kern w:val="2"/>
          <w:sz w:val="30"/>
          <w:szCs w:val="30"/>
          <w:vertAlign w:val="subscript"/>
          <w:lang w:val="en-US" w:bidi="ar"/>
        </w:rPr>
        <w:t>1S</w:t>
      </w:r>
      <w:r>
        <w:rPr>
          <w:rFonts w:hint="eastAsia"/>
          <w:kern w:val="2"/>
          <w:sz w:val="30"/>
          <w:szCs w:val="30"/>
          <w:lang w:val="en-US" w:bidi="ar"/>
        </w:rPr>
        <w:t>）：</w:t>
      </w:r>
      <w:r>
        <w:rPr>
          <w:rFonts w:hint="eastAsia" w:ascii="Times New Roman" w:hAnsi="Times New Roman"/>
          <w:kern w:val="2"/>
          <w:sz w:val="30"/>
          <w:szCs w:val="30"/>
          <w:lang w:val="en-US" w:bidi="ar"/>
        </w:rPr>
        <w:t xml:space="preserve"> </w:t>
      </w:r>
      <w:r>
        <w:rPr>
          <w:rFonts w:hint="eastAsia"/>
          <w:kern w:val="2"/>
          <w:sz w:val="30"/>
          <w:szCs w:val="30"/>
          <w:lang w:val="en-US" w:bidi="ar"/>
        </w:rPr>
        <w:t>出露于矿区东南部，局部遭受剥蚀变薄，厚度</w:t>
      </w:r>
      <w:r>
        <w:rPr>
          <w:rFonts w:hint="eastAsia" w:ascii="Times New Roman" w:hAnsi="Times New Roman"/>
          <w:kern w:val="2"/>
          <w:sz w:val="30"/>
          <w:szCs w:val="30"/>
          <w:lang w:val="en-US" w:bidi="ar"/>
        </w:rPr>
        <w:t>32</w:t>
      </w:r>
      <w:r>
        <w:rPr>
          <w:rFonts w:hint="eastAsia"/>
          <w:kern w:val="2"/>
          <w:sz w:val="30"/>
          <w:szCs w:val="30"/>
          <w:lang w:val="en-US" w:bidi="ar"/>
        </w:rPr>
        <w:t>～</w:t>
      </w:r>
      <w:r>
        <w:rPr>
          <w:rFonts w:ascii="Times New Roman" w:hAnsi="Times New Roman" w:cs="Times New Roman"/>
          <w:kern w:val="2"/>
          <w:sz w:val="30"/>
          <w:szCs w:val="30"/>
          <w:lang w:val="en-US" w:bidi="ar"/>
        </w:rPr>
        <w:t>112.67m</w:t>
      </w:r>
      <w:r>
        <w:rPr>
          <w:rFonts w:hint="eastAsia"/>
          <w:kern w:val="2"/>
          <w:sz w:val="30"/>
          <w:szCs w:val="30"/>
          <w:lang w:val="en-US" w:bidi="ar"/>
        </w:rPr>
        <w:t>，平均</w:t>
      </w:r>
      <w:r>
        <w:rPr>
          <w:rFonts w:hint="eastAsia" w:ascii="Times New Roman" w:hAnsi="Times New Roman"/>
          <w:kern w:val="2"/>
          <w:sz w:val="30"/>
          <w:szCs w:val="30"/>
          <w:lang w:val="en-US" w:bidi="ar"/>
        </w:rPr>
        <w:t>87</w:t>
      </w:r>
      <w:r>
        <w:rPr>
          <w:rFonts w:ascii="Times New Roman" w:hAnsi="Times New Roman" w:cs="Times New Roman"/>
          <w:kern w:val="2"/>
          <w:sz w:val="30"/>
          <w:szCs w:val="30"/>
          <w:lang w:val="en-US" w:bidi="ar"/>
        </w:rPr>
        <w:t>.04m</w:t>
      </w:r>
      <w:r>
        <w:rPr>
          <w:rFonts w:hint="eastAsia"/>
          <w:kern w:val="2"/>
          <w:sz w:val="30"/>
          <w:szCs w:val="30"/>
          <w:lang w:val="en-US" w:bidi="ar"/>
        </w:rPr>
        <w:t>，岩性为灰白色中粗粒砂岩夹少量灰绿色砂泥岩，依据岩性特征将该组划分为三个岩段，本组不含煤。与下伏山西组呈整合接触。</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上统上石盒组（</w:t>
      </w:r>
      <w:r>
        <w:rPr>
          <w:rFonts w:hint="eastAsia" w:ascii="Times New Roman" w:hAnsi="Times New Roman"/>
          <w:kern w:val="2"/>
          <w:sz w:val="30"/>
          <w:szCs w:val="30"/>
          <w:lang w:val="en-US" w:bidi="ar"/>
        </w:rPr>
        <w:t>P</w:t>
      </w:r>
      <w:r>
        <w:rPr>
          <w:rFonts w:hint="eastAsia" w:ascii="Times New Roman" w:hAnsi="Times New Roman"/>
          <w:kern w:val="2"/>
          <w:sz w:val="30"/>
          <w:szCs w:val="30"/>
          <w:vertAlign w:val="subscript"/>
          <w:lang w:val="en-US" w:bidi="ar"/>
        </w:rPr>
        <w:t>2S</w:t>
      </w:r>
      <w:r>
        <w:rPr>
          <w:rFonts w:hint="eastAsia"/>
          <w:kern w:val="2"/>
          <w:sz w:val="30"/>
          <w:szCs w:val="30"/>
          <w:lang w:val="en-US" w:bidi="ar"/>
        </w:rPr>
        <w:t>）：</w:t>
      </w:r>
      <w:r>
        <w:rPr>
          <w:rFonts w:hint="eastAsia" w:ascii="Times New Roman" w:hAnsi="Times New Roman"/>
          <w:kern w:val="2"/>
          <w:sz w:val="30"/>
          <w:szCs w:val="30"/>
          <w:lang w:val="en-US" w:bidi="ar"/>
        </w:rPr>
        <w:t xml:space="preserve"> </w:t>
      </w:r>
      <w:r>
        <w:rPr>
          <w:rFonts w:hint="eastAsia"/>
          <w:kern w:val="2"/>
          <w:sz w:val="30"/>
          <w:szCs w:val="30"/>
          <w:lang w:val="en-US" w:bidi="ar"/>
        </w:rPr>
        <w:t>矿区东南部均被剥蚀，仅残存于矿区中、北西部，残存厚度</w:t>
      </w:r>
      <w:r>
        <w:rPr>
          <w:rFonts w:hint="eastAsia" w:ascii="Times New Roman" w:hAnsi="Times New Roman"/>
          <w:kern w:val="2"/>
          <w:sz w:val="30"/>
          <w:szCs w:val="30"/>
          <w:lang w:val="en-US" w:bidi="ar"/>
        </w:rPr>
        <w:t>5</w:t>
      </w:r>
      <w:r>
        <w:rPr>
          <w:rFonts w:hint="eastAsia"/>
          <w:kern w:val="2"/>
          <w:sz w:val="30"/>
          <w:szCs w:val="30"/>
          <w:lang w:val="en-US" w:bidi="ar"/>
        </w:rPr>
        <w:t>～</w:t>
      </w:r>
      <w:r>
        <w:rPr>
          <w:rFonts w:ascii="Times New Roman" w:hAnsi="Times New Roman" w:cs="Times New Roman"/>
          <w:kern w:val="2"/>
          <w:sz w:val="30"/>
          <w:szCs w:val="30"/>
          <w:lang w:val="en-US" w:bidi="ar"/>
        </w:rPr>
        <w:t>23m</w:t>
      </w:r>
      <w:r>
        <w:rPr>
          <w:rFonts w:hint="eastAsia"/>
          <w:kern w:val="2"/>
          <w:sz w:val="30"/>
          <w:szCs w:val="30"/>
          <w:lang w:val="en-US" w:bidi="ar"/>
        </w:rPr>
        <w:t>，岩性为紫红、灰绿色等杂色砂质泥岩，砂质粘土岩及灰绿～灰白色中粗粒砂岩，与下伏下石盒子组呈整合接触。</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w:t>
      </w:r>
      <w:r>
        <w:rPr>
          <w:rFonts w:hint="eastAsia" w:ascii="Times New Roman" w:hAnsi="Times New Roman"/>
          <w:kern w:val="2"/>
          <w:sz w:val="30"/>
          <w:szCs w:val="30"/>
          <w:lang w:val="en-US" w:bidi="ar"/>
        </w:rPr>
        <w:t>4</w:t>
      </w:r>
      <w:r>
        <w:rPr>
          <w:rFonts w:hint="eastAsia"/>
          <w:kern w:val="2"/>
          <w:sz w:val="30"/>
          <w:szCs w:val="30"/>
          <w:lang w:val="en-US" w:bidi="ar"/>
        </w:rPr>
        <w:t>）第四系（</w:t>
      </w:r>
      <w:r>
        <w:rPr>
          <w:rFonts w:ascii="Times New Roman" w:hAnsi="Times New Roman" w:cs="Times New Roman"/>
          <w:kern w:val="2"/>
          <w:sz w:val="30"/>
          <w:szCs w:val="30"/>
          <w:lang w:val="en-US" w:bidi="ar"/>
        </w:rPr>
        <w:t>Q</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岩性为风积砂、残坡积物及冲洪积层，由砂土、亚砂土及砂砾组成，厚度</w:t>
      </w:r>
      <w:r>
        <w:rPr>
          <w:rFonts w:hint="eastAsia" w:ascii="Times New Roman" w:hAnsi="Times New Roman"/>
          <w:kern w:val="2"/>
          <w:sz w:val="30"/>
          <w:szCs w:val="30"/>
          <w:lang w:val="en-US" w:bidi="ar"/>
        </w:rPr>
        <w:t>0</w:t>
      </w:r>
      <w:r>
        <w:rPr>
          <w:rFonts w:hint="eastAsia"/>
          <w:kern w:val="2"/>
          <w:sz w:val="30"/>
          <w:szCs w:val="30"/>
          <w:lang w:val="en-US" w:bidi="ar"/>
        </w:rPr>
        <w:t>～</w:t>
      </w:r>
      <w:r>
        <w:rPr>
          <w:rFonts w:ascii="Times New Roman" w:hAnsi="Times New Roman" w:cs="Times New Roman"/>
          <w:kern w:val="2"/>
          <w:sz w:val="30"/>
          <w:szCs w:val="30"/>
          <w:lang w:val="en-US" w:bidi="ar"/>
        </w:rPr>
        <w:t>23m</w:t>
      </w:r>
      <w:r>
        <w:rPr>
          <w:rFonts w:hint="eastAsia"/>
          <w:kern w:val="2"/>
          <w:sz w:val="30"/>
          <w:szCs w:val="30"/>
          <w:lang w:val="en-US" w:bidi="ar"/>
        </w:rPr>
        <w:t>，一般小于</w:t>
      </w:r>
      <w:r>
        <w:rPr>
          <w:rFonts w:hint="eastAsia" w:ascii="Times New Roman" w:hAnsi="Times New Roman"/>
          <w:kern w:val="2"/>
          <w:sz w:val="30"/>
          <w:szCs w:val="30"/>
          <w:lang w:val="en-US" w:bidi="ar"/>
        </w:rPr>
        <w:t>8</w:t>
      </w:r>
      <w:r>
        <w:rPr>
          <w:rFonts w:ascii="Times New Roman" w:hAnsi="Times New Roman" w:cs="Times New Roman"/>
          <w:kern w:val="2"/>
          <w:sz w:val="30"/>
          <w:szCs w:val="30"/>
          <w:lang w:val="en-US" w:bidi="ar"/>
        </w:rPr>
        <w:t>m</w:t>
      </w:r>
      <w:r>
        <w:rPr>
          <w:rFonts w:hint="eastAsia"/>
          <w:kern w:val="2"/>
          <w:sz w:val="30"/>
          <w:szCs w:val="30"/>
          <w:lang w:val="en-US" w:bidi="ar"/>
        </w:rPr>
        <w:t>。</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sz w:val="30"/>
          <w:szCs w:val="30"/>
          <w:lang w:val="en-US" w:bidi="ar"/>
        </w:rPr>
        <w:t>二、构 造</w:t>
      </w:r>
      <w:r>
        <w:rPr>
          <w:rFonts w:hint="eastAsia"/>
          <w:b/>
          <w:kern w:val="2"/>
          <w:sz w:val="30"/>
          <w:szCs w:val="30"/>
          <w:lang w:val="en-US" w:bidi="ar"/>
        </w:rPr>
        <w:t xml:space="preserve"> </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龙贵分公司煤矿井田位于白云乌素Ⅰ勘探区中东部，总体为一向南西倾斜的单斜构造，地层产状平缓，一般6°～10°。本区构造运动较为强烈，褶曲及断层均有出现。影响矿区的主要构造为西来峰逆断层、F</w:t>
      </w:r>
      <w:r>
        <w:rPr>
          <w:rFonts w:hint="eastAsia"/>
          <w:kern w:val="2"/>
          <w:sz w:val="30"/>
          <w:szCs w:val="30"/>
          <w:vertAlign w:val="subscript"/>
          <w:lang w:val="en-US" w:bidi="ar"/>
        </w:rPr>
        <w:t>10</w:t>
      </w:r>
      <w:r>
        <w:rPr>
          <w:rFonts w:hint="eastAsia"/>
          <w:kern w:val="2"/>
          <w:sz w:val="30"/>
          <w:szCs w:val="30"/>
          <w:lang w:val="en-US" w:bidi="ar"/>
        </w:rPr>
        <w:t>正断层、F</w:t>
      </w:r>
      <w:r>
        <w:rPr>
          <w:rFonts w:hint="eastAsia"/>
          <w:kern w:val="2"/>
          <w:sz w:val="30"/>
          <w:szCs w:val="30"/>
          <w:vertAlign w:val="subscript"/>
          <w:lang w:val="en-US" w:bidi="ar"/>
        </w:rPr>
        <w:t>19</w:t>
      </w:r>
      <w:r>
        <w:rPr>
          <w:rFonts w:hint="eastAsia"/>
          <w:kern w:val="2"/>
          <w:sz w:val="30"/>
          <w:szCs w:val="30"/>
          <w:lang w:val="en-US" w:bidi="ar"/>
        </w:rPr>
        <w:t>正断层及S</w:t>
      </w:r>
      <w:r>
        <w:rPr>
          <w:rFonts w:hint="eastAsia"/>
          <w:kern w:val="2"/>
          <w:sz w:val="30"/>
          <w:szCs w:val="30"/>
          <w:vertAlign w:val="subscript"/>
          <w:lang w:val="en-US" w:bidi="ar"/>
        </w:rPr>
        <w:t>30</w:t>
      </w:r>
      <w:r>
        <w:rPr>
          <w:rFonts w:hint="eastAsia"/>
          <w:kern w:val="2"/>
          <w:sz w:val="30"/>
          <w:szCs w:val="30"/>
          <w:lang w:val="en-US" w:bidi="ar"/>
        </w:rPr>
        <w:t>向斜，现分述如下：</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（1）西来峰逆断层</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位于矿区西约150m，为一压扭性逆断层，走向近南北向，倾向西，倾角56°～60°，断距&gt;300m，延伸长度75km。受该断层影响使其西部（上盘）地层抬升，煤层遭剥蚀破坏。由于断层倾向西，故对井田煤层破坏程度轻微。</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（2） F</w:t>
      </w:r>
      <w:r>
        <w:rPr>
          <w:rFonts w:hint="eastAsia"/>
          <w:kern w:val="2"/>
          <w:sz w:val="30"/>
          <w:szCs w:val="30"/>
          <w:vertAlign w:val="subscript"/>
          <w:lang w:val="en-US" w:bidi="ar"/>
        </w:rPr>
        <w:t>10</w:t>
      </w:r>
      <w:r>
        <w:rPr>
          <w:rFonts w:hint="eastAsia"/>
          <w:kern w:val="2"/>
          <w:sz w:val="30"/>
          <w:szCs w:val="30"/>
          <w:lang w:val="en-US" w:bidi="ar"/>
        </w:rPr>
        <w:t>正断层</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该断层位于本区北部，在井田北边界以北150m，断层走向北东75，倾向北西，倾角60°，断距126m。该断层大部位于本区界外，故其对井田煤层破坏程度轻微。</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（3） F</w:t>
      </w:r>
      <w:r>
        <w:rPr>
          <w:rFonts w:hint="eastAsia"/>
          <w:kern w:val="2"/>
          <w:sz w:val="30"/>
          <w:szCs w:val="30"/>
          <w:vertAlign w:val="subscript"/>
          <w:lang w:val="en-US" w:bidi="ar"/>
        </w:rPr>
        <w:t>19</w:t>
      </w:r>
      <w:r>
        <w:rPr>
          <w:rFonts w:hint="eastAsia"/>
          <w:kern w:val="2"/>
          <w:sz w:val="30"/>
          <w:szCs w:val="30"/>
          <w:lang w:val="en-US" w:bidi="ar"/>
        </w:rPr>
        <w:t>正断层</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该断层位于第三勘探线附近，走向北东70°，倾向北西，倾角70°，断距15m。该断层贯穿整个井田。断距向西逐渐变小，至404号钻孔附近消失，该断层对矿区内煤层有一定的破坏。</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（4） S</w:t>
      </w:r>
      <w:r>
        <w:rPr>
          <w:rFonts w:hint="eastAsia"/>
          <w:kern w:val="2"/>
          <w:sz w:val="30"/>
          <w:szCs w:val="30"/>
          <w:vertAlign w:val="subscript"/>
          <w:lang w:val="en-US" w:bidi="ar"/>
        </w:rPr>
        <w:t>30</w:t>
      </w:r>
      <w:r>
        <w:rPr>
          <w:rFonts w:hint="eastAsia"/>
          <w:kern w:val="2"/>
          <w:sz w:val="30"/>
          <w:szCs w:val="30"/>
          <w:lang w:val="en-US" w:bidi="ar"/>
        </w:rPr>
        <w:t>向斜</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该向斜位于西来峰逆断层中段东侧，为西来峰逆断层牵引向斜。</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综上所述，矿区内断层较为发育，且在西来峰逆断层东侧存在因受断层牵引而形成的向斜。</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区内未见岩浆岩侵入，确定矿区构造复杂程度为中等。</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矿区地震动峰值加速度为0.20g，根据《中国地震动峰值加速度区划图》（国家地震局2001年版，1：400万）对照地震烈度为Ⅷ度。区域地壳不稳定。</w:t>
      </w:r>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jc w:val="both"/>
        <w:textAlignment w:val="auto"/>
        <w:rPr>
          <w:sz w:val="30"/>
          <w:szCs w:val="30"/>
        </w:rPr>
      </w:pPr>
      <w:r>
        <w:rPr>
          <w:rFonts w:hint="eastAsia"/>
          <w:sz w:val="30"/>
          <w:szCs w:val="30"/>
        </w:rPr>
        <w:t>三、水文地质条件</w:t>
      </w:r>
    </w:p>
    <w:p>
      <w:pPr>
        <w:pStyle w:val="10"/>
        <w:pageBreakBefore w:val="0"/>
        <w:kinsoku/>
        <w:wordWrap/>
        <w:overflowPunct/>
        <w:topLinePunct w:val="0"/>
        <w:autoSpaceDE w:val="0"/>
        <w:autoSpaceDN w:val="0"/>
        <w:bidi w:val="0"/>
        <w:adjustRightInd/>
        <w:snapToGrid/>
        <w:spacing w:line="600" w:lineRule="exact"/>
        <w:ind w:firstLine="584" w:firstLineChars="200"/>
        <w:jc w:val="both"/>
        <w:textAlignment w:val="auto"/>
        <w:rPr>
          <w:rFonts w:ascii="Times New Roman" w:hAnsi="Times New Roman"/>
          <w:spacing w:val="-4"/>
          <w:kern w:val="2"/>
          <w:sz w:val="30"/>
          <w:szCs w:val="30"/>
        </w:rPr>
      </w:pPr>
      <w:r>
        <w:rPr>
          <w:rFonts w:hint="eastAsia"/>
          <w:spacing w:val="-4"/>
          <w:kern w:val="2"/>
          <w:sz w:val="30"/>
          <w:szCs w:val="30"/>
          <w:lang w:val="en-US" w:bidi="ar"/>
        </w:rPr>
        <w:t>（一）地下水的类型</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矿区地处干旱、半干旱荒漠地带，年降水量小，蒸发量大，无地表径流及水体，根据含水层岩性及地下水赋存条件及力学特征确定该矿区地下水类型为松散岩类孔隙潜水和基岩类孔隙裂隙承压水及碳酸岩类裂隙水，现叙述如下：</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1</w:t>
      </w:r>
      <w:r>
        <w:rPr>
          <w:rFonts w:hint="eastAsia"/>
          <w:kern w:val="2"/>
          <w:sz w:val="30"/>
          <w:szCs w:val="30"/>
          <w:lang w:val="en-US" w:bidi="ar"/>
        </w:rPr>
        <w:t>、第四系松散岩层孔隙潜水</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cs="Times New Roman"/>
          <w:kern w:val="2"/>
          <w:sz w:val="30"/>
          <w:szCs w:val="30"/>
        </w:rPr>
      </w:pPr>
      <w:r>
        <w:rPr>
          <w:rFonts w:hint="eastAsia"/>
          <w:kern w:val="2"/>
          <w:sz w:val="30"/>
          <w:szCs w:val="30"/>
          <w:lang w:val="en-US" w:bidi="ar"/>
        </w:rPr>
        <w:t>含水岩组的岩性为风积砂、冲洪积砂砾石层等，在全矿区分布较为广泛。残坡积物与风积砂多分布在山坡之上，一般透水而不含水。</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2</w:t>
      </w:r>
      <w:r>
        <w:rPr>
          <w:rFonts w:hint="eastAsia"/>
          <w:kern w:val="2"/>
          <w:sz w:val="30"/>
          <w:szCs w:val="30"/>
          <w:lang w:val="en-US" w:bidi="ar"/>
        </w:rPr>
        <w:t xml:space="preserve">、基岩类孔隙裂隙承压水含水岩组    </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据储量核实报告资料，该含水岩组为四个含水带和三个相对隔水层。</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第</w:t>
      </w:r>
      <w:r>
        <w:rPr>
          <w:rFonts w:hint="eastAsia" w:ascii="Times New Roman" w:hAnsi="Times New Roman"/>
          <w:kern w:val="2"/>
          <w:sz w:val="30"/>
          <w:szCs w:val="30"/>
          <w:lang w:val="en-US" w:bidi="ar"/>
        </w:rPr>
        <w:t>Ⅰ含水带（</w:t>
      </w:r>
      <w:r>
        <w:rPr>
          <w:rFonts w:ascii="Times New Roman" w:hAnsi="Times New Roman" w:cs="Times New Roman"/>
          <w:kern w:val="2"/>
          <w:sz w:val="30"/>
          <w:szCs w:val="30"/>
          <w:lang w:val="en-US" w:bidi="ar"/>
        </w:rPr>
        <w:t>P</w:t>
      </w:r>
      <w:r>
        <w:rPr>
          <w:rFonts w:hint="eastAsia" w:ascii="Times New Roman" w:hAnsi="Times New Roman"/>
          <w:kern w:val="2"/>
          <w:sz w:val="30"/>
          <w:szCs w:val="30"/>
          <w:vertAlign w:val="subscript"/>
          <w:lang w:val="en-US" w:bidi="ar"/>
        </w:rPr>
        <w:t>1S</w:t>
      </w:r>
      <w:r>
        <w:rPr>
          <w:rFonts w:hint="eastAsia" w:ascii="Times New Roman" w:hAnsi="Times New Roman"/>
          <w:kern w:val="2"/>
          <w:sz w:val="30"/>
          <w:szCs w:val="30"/>
          <w:vertAlign w:val="superscript"/>
          <w:lang w:val="en-US" w:bidi="ar"/>
        </w:rPr>
        <w:t>4</w:t>
      </w:r>
      <w:r>
        <w:rPr>
          <w:rFonts w:hint="eastAsia"/>
          <w:kern w:val="2"/>
          <w:sz w:val="30"/>
          <w:szCs w:val="30"/>
          <w:lang w:val="en-US" w:bidi="ar"/>
        </w:rPr>
        <w:t>～</w:t>
      </w:r>
      <w:r>
        <w:rPr>
          <w:rFonts w:hint="eastAsia" w:ascii="Times New Roman" w:hAnsi="Times New Roman"/>
          <w:kern w:val="2"/>
          <w:sz w:val="30"/>
          <w:szCs w:val="30"/>
          <w:lang w:val="en-US" w:bidi="ar"/>
        </w:rPr>
        <w:t>P</w:t>
      </w:r>
      <w:r>
        <w:rPr>
          <w:rFonts w:hint="eastAsia" w:ascii="Times New Roman" w:hAnsi="Times New Roman"/>
          <w:kern w:val="2"/>
          <w:sz w:val="30"/>
          <w:szCs w:val="30"/>
          <w:vertAlign w:val="subscript"/>
          <w:lang w:val="en-US" w:bidi="ar"/>
        </w:rPr>
        <w:t>1X</w:t>
      </w:r>
      <w:r>
        <w:rPr>
          <w:rFonts w:hint="eastAsia" w:ascii="Times New Roman" w:hAnsi="Times New Roman"/>
          <w:kern w:val="2"/>
          <w:sz w:val="30"/>
          <w:szCs w:val="30"/>
          <w:vertAlign w:val="superscript"/>
          <w:lang w:val="en-US" w:bidi="ar"/>
        </w:rPr>
        <w:t>3</w:t>
      </w:r>
      <w:r>
        <w:rPr>
          <w:rFonts w:hint="eastAsia"/>
          <w:kern w:val="2"/>
          <w:sz w:val="30"/>
          <w:szCs w:val="30"/>
          <w:lang w:val="en-US" w:bidi="ar"/>
        </w:rPr>
        <w:t>）：上部为灰白色粗、中粒砂岩，下部为中、细粒砂岩，区内南部裸露于地表，风化裂隙较发育。据</w:t>
      </w:r>
      <w:r>
        <w:rPr>
          <w:rFonts w:hint="eastAsia" w:ascii="Times New Roman" w:hAnsi="Times New Roman"/>
          <w:kern w:val="2"/>
          <w:sz w:val="30"/>
          <w:szCs w:val="30"/>
          <w:lang w:val="en-US" w:bidi="ar"/>
        </w:rPr>
        <w:t>155</w:t>
      </w:r>
      <w:r>
        <w:rPr>
          <w:rFonts w:hint="eastAsia"/>
          <w:kern w:val="2"/>
          <w:sz w:val="30"/>
          <w:szCs w:val="30"/>
          <w:lang w:val="en-US" w:bidi="ar"/>
        </w:rPr>
        <w:t>号孔抽水试验资料，水位标高</w:t>
      </w:r>
      <w:r>
        <w:rPr>
          <w:rFonts w:ascii="Times New Roman" w:hAnsi="Times New Roman" w:cs="Times New Roman"/>
          <w:kern w:val="2"/>
          <w:sz w:val="30"/>
          <w:szCs w:val="30"/>
          <w:lang w:val="en-US" w:bidi="ar"/>
        </w:rPr>
        <w:t>1171.02m</w:t>
      </w:r>
      <w:r>
        <w:rPr>
          <w:rFonts w:hint="eastAsia"/>
          <w:kern w:val="2"/>
          <w:sz w:val="30"/>
          <w:szCs w:val="30"/>
          <w:lang w:val="en-US" w:bidi="ar"/>
        </w:rPr>
        <w:t>，单位涌水量</w:t>
      </w:r>
      <w:r>
        <w:rPr>
          <w:rFonts w:hint="eastAsia" w:ascii="Times New Roman" w:hAnsi="Times New Roman"/>
          <w:kern w:val="2"/>
          <w:sz w:val="30"/>
          <w:szCs w:val="30"/>
          <w:lang w:val="en-US" w:bidi="ar"/>
        </w:rPr>
        <w:t>q=</w:t>
      </w:r>
      <w:r>
        <w:rPr>
          <w:rFonts w:ascii="Times New Roman" w:hAnsi="Times New Roman" w:cs="Times New Roman"/>
          <w:kern w:val="2"/>
          <w:sz w:val="30"/>
          <w:szCs w:val="30"/>
          <w:lang w:val="en-US" w:bidi="ar"/>
        </w:rPr>
        <w:t xml:space="preserve">0.0639 </w:t>
      </w:r>
      <w:r>
        <w:rPr>
          <w:rFonts w:ascii="华文行楷" w:hAnsi="Times New Roman" w:eastAsia="华文行楷" w:cs="华文行楷"/>
          <w:kern w:val="2"/>
          <w:sz w:val="30"/>
          <w:szCs w:val="30"/>
          <w:lang w:val="en-US" w:bidi="ar"/>
        </w:rPr>
        <w:t>l</w:t>
      </w:r>
      <w:r>
        <w:rPr>
          <w:rFonts w:ascii="Times New Roman" w:hAnsi="Times New Roman" w:cs="Times New Roman"/>
          <w:kern w:val="2"/>
          <w:sz w:val="30"/>
          <w:szCs w:val="30"/>
          <w:lang w:val="en-US" w:bidi="ar"/>
        </w:rPr>
        <w:t>/s·m</w:t>
      </w:r>
      <w:r>
        <w:rPr>
          <w:rFonts w:hint="eastAsia"/>
          <w:kern w:val="2"/>
          <w:sz w:val="30"/>
          <w:szCs w:val="30"/>
          <w:lang w:val="en-US" w:bidi="ar"/>
        </w:rPr>
        <w:t>，渗透系数</w:t>
      </w:r>
      <w:r>
        <w:rPr>
          <w:rFonts w:hint="eastAsia" w:ascii="Times New Roman" w:hAnsi="Times New Roman"/>
          <w:kern w:val="2"/>
          <w:sz w:val="30"/>
          <w:szCs w:val="30"/>
          <w:lang w:val="en-US" w:bidi="ar"/>
        </w:rPr>
        <w:t>K=</w:t>
      </w:r>
      <w:r>
        <w:rPr>
          <w:rFonts w:ascii="Times New Roman" w:hAnsi="Times New Roman" w:cs="Times New Roman"/>
          <w:kern w:val="2"/>
          <w:sz w:val="30"/>
          <w:szCs w:val="30"/>
          <w:lang w:val="en-US" w:bidi="ar"/>
        </w:rPr>
        <w:t>0.476m/d</w:t>
      </w:r>
      <w:r>
        <w:rPr>
          <w:rFonts w:hint="eastAsia"/>
          <w:kern w:val="2"/>
          <w:sz w:val="30"/>
          <w:szCs w:val="30"/>
          <w:lang w:val="en-US" w:bidi="ar"/>
        </w:rPr>
        <w:t>，矿化度</w:t>
      </w:r>
      <w:r>
        <w:rPr>
          <w:rFonts w:hint="eastAsia" w:ascii="Times New Roman" w:hAnsi="Times New Roman"/>
          <w:kern w:val="2"/>
          <w:sz w:val="30"/>
          <w:szCs w:val="30"/>
          <w:lang w:val="en-US" w:bidi="ar"/>
        </w:rPr>
        <w:t>0</w:t>
      </w:r>
      <w:r>
        <w:rPr>
          <w:rFonts w:ascii="Times New Roman" w:hAnsi="Times New Roman" w:cs="Times New Roman"/>
          <w:kern w:val="2"/>
          <w:sz w:val="30"/>
          <w:szCs w:val="30"/>
          <w:lang w:val="en-US" w:bidi="ar"/>
        </w:rPr>
        <w:t>.211g/</w:t>
      </w:r>
      <w:r>
        <w:rPr>
          <w:rFonts w:hint="eastAsia" w:ascii="Times New Roman" w:hAnsi="Times New Roman"/>
          <w:kern w:val="2"/>
          <w:sz w:val="30"/>
          <w:szCs w:val="30"/>
          <w:lang w:val="en-US" w:bidi="ar"/>
        </w:rPr>
        <w:t>L</w:t>
      </w:r>
      <w:r>
        <w:rPr>
          <w:rFonts w:hint="eastAsia"/>
          <w:kern w:val="2"/>
          <w:sz w:val="30"/>
          <w:szCs w:val="30"/>
          <w:lang w:val="en-US" w:bidi="ar"/>
        </w:rPr>
        <w:t>，水质类型为</w:t>
      </w:r>
      <w:r>
        <w:rPr>
          <w:rFonts w:ascii="Times New Roman" w:hAnsi="Times New Roman" w:cs="Times New Roman"/>
          <w:kern w:val="2"/>
          <w:sz w:val="30"/>
          <w:szCs w:val="30"/>
          <w:lang w:val="en-US" w:bidi="ar"/>
        </w:rPr>
        <w:t>HCO</w:t>
      </w:r>
      <w:r>
        <w:rPr>
          <w:rFonts w:hint="eastAsia" w:ascii="Times New Roman" w:hAnsi="Times New Roman"/>
          <w:kern w:val="2"/>
          <w:sz w:val="30"/>
          <w:szCs w:val="30"/>
          <w:vertAlign w:val="subscript"/>
          <w:lang w:val="en-US" w:bidi="ar"/>
        </w:rPr>
        <w:t>3</w:t>
      </w:r>
      <w:r>
        <w:rPr>
          <w:rFonts w:hint="eastAsia" w:ascii="Times New Roman" w:hAnsi="Times New Roman"/>
          <w:kern w:val="2"/>
          <w:sz w:val="30"/>
          <w:szCs w:val="30"/>
          <w:lang w:val="en-US" w:bidi="ar"/>
        </w:rPr>
        <w:t>-C</w:t>
      </w:r>
      <w:r>
        <w:rPr>
          <w:rFonts w:ascii="Times New Roman" w:hAnsi="Times New Roman" w:cs="Times New Roman"/>
          <w:kern w:val="2"/>
          <w:sz w:val="30"/>
          <w:szCs w:val="30"/>
          <w:lang w:val="en-US" w:bidi="ar"/>
        </w:rPr>
        <w:t>a·K+Na</w:t>
      </w:r>
      <w:r>
        <w:rPr>
          <w:rFonts w:hint="eastAsia"/>
          <w:kern w:val="2"/>
          <w:sz w:val="30"/>
          <w:szCs w:val="30"/>
          <w:lang w:val="en-US" w:bidi="ar"/>
        </w:rPr>
        <w:t>型，含裂隙承压水，富水性弱。</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第一隔水层（</w:t>
      </w:r>
      <w:r>
        <w:rPr>
          <w:rFonts w:hint="eastAsia" w:ascii="Times New Roman" w:hAnsi="Times New Roman"/>
          <w:kern w:val="2"/>
          <w:sz w:val="30"/>
          <w:szCs w:val="30"/>
          <w:lang w:val="en-US" w:bidi="ar"/>
        </w:rPr>
        <w:t>P</w:t>
      </w:r>
      <w:r>
        <w:rPr>
          <w:rFonts w:hint="eastAsia" w:ascii="Times New Roman" w:hAnsi="Times New Roman"/>
          <w:kern w:val="2"/>
          <w:sz w:val="30"/>
          <w:szCs w:val="30"/>
          <w:vertAlign w:val="subscript"/>
          <w:lang w:val="en-US" w:bidi="ar"/>
        </w:rPr>
        <w:t>1S</w:t>
      </w:r>
      <w:r>
        <w:rPr>
          <w:rFonts w:hint="eastAsia" w:ascii="Times New Roman" w:hAnsi="Times New Roman"/>
          <w:kern w:val="2"/>
          <w:sz w:val="30"/>
          <w:szCs w:val="30"/>
          <w:vertAlign w:val="superscript"/>
          <w:lang w:val="en-US" w:bidi="ar"/>
        </w:rPr>
        <w:t>4</w:t>
      </w:r>
      <w:r>
        <w:rPr>
          <w:rFonts w:hint="eastAsia"/>
          <w:kern w:val="2"/>
          <w:sz w:val="30"/>
          <w:szCs w:val="30"/>
          <w:lang w:val="en-US" w:bidi="ar"/>
        </w:rPr>
        <w:t>）：岩性为灰～深灰色砂质泥岩粘土岩及</w:t>
      </w:r>
      <w:r>
        <w:rPr>
          <w:rFonts w:hint="eastAsia" w:ascii="Times New Roman" w:hAnsi="Times New Roman"/>
          <w:kern w:val="2"/>
          <w:sz w:val="30"/>
          <w:szCs w:val="30"/>
          <w:lang w:val="en-US" w:bidi="ar"/>
        </w:rPr>
        <w:t>2</w:t>
      </w:r>
      <w:r>
        <w:rPr>
          <w:rFonts w:hint="eastAsia"/>
          <w:kern w:val="2"/>
          <w:sz w:val="30"/>
          <w:szCs w:val="30"/>
          <w:lang w:val="en-US" w:bidi="ar"/>
        </w:rPr>
        <w:t>号煤层，一般厚</w:t>
      </w:r>
      <w:r>
        <w:rPr>
          <w:rFonts w:ascii="Times New Roman" w:hAnsi="Times New Roman" w:cs="Times New Roman"/>
          <w:kern w:val="2"/>
          <w:sz w:val="30"/>
          <w:szCs w:val="30"/>
          <w:lang w:val="en-US" w:bidi="ar"/>
        </w:rPr>
        <w:t>6m</w:t>
      </w:r>
      <w:r>
        <w:rPr>
          <w:rFonts w:hint="eastAsia"/>
          <w:kern w:val="2"/>
          <w:sz w:val="30"/>
          <w:szCs w:val="30"/>
          <w:lang w:val="en-US" w:bidi="ar"/>
        </w:rPr>
        <w:t>，隔水性能较好。</w:t>
      </w:r>
    </w:p>
    <w:p>
      <w:pPr>
        <w:pStyle w:val="10"/>
        <w:pageBreakBefore w:val="0"/>
        <w:kinsoku/>
        <w:wordWrap/>
        <w:overflowPunct/>
        <w:topLinePunct w:val="0"/>
        <w:autoSpaceDE w:val="0"/>
        <w:autoSpaceDN w:val="0"/>
        <w:bidi w:val="0"/>
        <w:adjustRightInd/>
        <w:snapToGrid/>
        <w:spacing w:line="600" w:lineRule="exact"/>
        <w:ind w:firstLine="584" w:firstLineChars="200"/>
        <w:jc w:val="both"/>
        <w:textAlignment w:val="auto"/>
        <w:rPr>
          <w:rFonts w:ascii="Times New Roman" w:hAnsi="Times New Roman"/>
          <w:spacing w:val="-4"/>
          <w:kern w:val="2"/>
          <w:sz w:val="30"/>
          <w:szCs w:val="30"/>
        </w:rPr>
      </w:pPr>
      <w:r>
        <w:rPr>
          <w:rFonts w:hint="eastAsia"/>
          <w:spacing w:val="-4"/>
          <w:kern w:val="2"/>
          <w:sz w:val="30"/>
          <w:szCs w:val="30"/>
          <w:lang w:val="en-US" w:bidi="ar"/>
        </w:rPr>
        <w:t>第</w:t>
      </w:r>
      <w:r>
        <w:rPr>
          <w:rFonts w:hint="eastAsia" w:ascii="Times New Roman" w:hAnsi="Times New Roman"/>
          <w:spacing w:val="-4"/>
          <w:kern w:val="2"/>
          <w:sz w:val="30"/>
          <w:szCs w:val="30"/>
          <w:lang w:val="en-US" w:bidi="ar"/>
        </w:rPr>
        <w:t>Ⅱ含水带（</w:t>
      </w:r>
      <w:r>
        <w:rPr>
          <w:rFonts w:ascii="Times New Roman" w:hAnsi="Times New Roman" w:cs="Times New Roman"/>
          <w:spacing w:val="-4"/>
          <w:kern w:val="2"/>
          <w:sz w:val="30"/>
          <w:szCs w:val="30"/>
          <w:lang w:val="en-US" w:bidi="ar"/>
        </w:rPr>
        <w:t>P</w:t>
      </w:r>
      <w:r>
        <w:rPr>
          <w:rFonts w:hint="eastAsia" w:ascii="Times New Roman" w:hAnsi="Times New Roman"/>
          <w:spacing w:val="-4"/>
          <w:kern w:val="2"/>
          <w:sz w:val="30"/>
          <w:szCs w:val="30"/>
          <w:vertAlign w:val="subscript"/>
          <w:lang w:val="en-US" w:bidi="ar"/>
        </w:rPr>
        <w:t>1S</w:t>
      </w:r>
      <w:r>
        <w:rPr>
          <w:rFonts w:hint="eastAsia" w:ascii="Times New Roman" w:hAnsi="Times New Roman"/>
          <w:spacing w:val="-4"/>
          <w:kern w:val="2"/>
          <w:sz w:val="30"/>
          <w:szCs w:val="30"/>
          <w:vertAlign w:val="superscript"/>
          <w:lang w:val="en-US" w:bidi="ar"/>
        </w:rPr>
        <w:t>4</w:t>
      </w:r>
      <w:r>
        <w:rPr>
          <w:rFonts w:hint="eastAsia"/>
          <w:spacing w:val="-4"/>
          <w:kern w:val="2"/>
          <w:sz w:val="30"/>
          <w:szCs w:val="30"/>
          <w:lang w:val="en-US" w:bidi="ar"/>
        </w:rPr>
        <w:t>或</w:t>
      </w:r>
      <w:r>
        <w:rPr>
          <w:rFonts w:hint="eastAsia" w:ascii="Times New Roman" w:hAnsi="Times New Roman"/>
          <w:spacing w:val="-4"/>
          <w:kern w:val="2"/>
          <w:sz w:val="30"/>
          <w:szCs w:val="30"/>
          <w:lang w:val="en-US" w:bidi="ar"/>
        </w:rPr>
        <w:t>2</w:t>
      </w:r>
      <w:r>
        <w:rPr>
          <w:rFonts w:hint="eastAsia" w:ascii="Times New Roman" w:hAnsi="Times New Roman"/>
          <w:spacing w:val="-4"/>
          <w:kern w:val="2"/>
          <w:sz w:val="30"/>
          <w:szCs w:val="30"/>
          <w:vertAlign w:val="superscript"/>
          <w:lang w:val="en-US" w:bidi="ar"/>
        </w:rPr>
        <w:t>#</w:t>
      </w:r>
      <w:r>
        <w:rPr>
          <w:rFonts w:hint="eastAsia" w:ascii="Times New Roman" w:hAnsi="Times New Roman"/>
          <w:spacing w:val="-4"/>
          <w:kern w:val="2"/>
          <w:sz w:val="30"/>
          <w:szCs w:val="30"/>
          <w:lang w:val="en-US" w:bidi="ar"/>
        </w:rPr>
        <w:t>—</w:t>
      </w:r>
      <w:r>
        <w:rPr>
          <w:rFonts w:ascii="Times New Roman" w:hAnsi="Times New Roman" w:cs="Times New Roman"/>
          <w:spacing w:val="-4"/>
          <w:kern w:val="2"/>
          <w:sz w:val="30"/>
          <w:szCs w:val="30"/>
          <w:lang w:val="en-US" w:bidi="ar"/>
        </w:rPr>
        <w:t>8</w:t>
      </w:r>
      <w:r>
        <w:rPr>
          <w:rFonts w:hint="eastAsia" w:ascii="Times New Roman" w:hAnsi="Times New Roman"/>
          <w:spacing w:val="-4"/>
          <w:kern w:val="2"/>
          <w:sz w:val="30"/>
          <w:szCs w:val="30"/>
          <w:vertAlign w:val="superscript"/>
          <w:lang w:val="en-US" w:bidi="ar"/>
        </w:rPr>
        <w:t>#</w:t>
      </w:r>
      <w:r>
        <w:rPr>
          <w:rFonts w:hint="eastAsia"/>
          <w:spacing w:val="-4"/>
          <w:kern w:val="2"/>
          <w:sz w:val="30"/>
          <w:szCs w:val="30"/>
          <w:lang w:val="en-US" w:bidi="ar"/>
        </w:rPr>
        <w:t>煤层之间）：岩性为灰白色粗粒砂岩、中粒砂岩及细粒砂岩，含水层厚度</w:t>
      </w:r>
      <w:r>
        <w:rPr>
          <w:rFonts w:hint="eastAsia" w:ascii="Times New Roman" w:hAnsi="Times New Roman"/>
          <w:spacing w:val="-4"/>
          <w:kern w:val="2"/>
          <w:sz w:val="30"/>
          <w:szCs w:val="30"/>
          <w:lang w:val="en-US" w:bidi="ar"/>
        </w:rPr>
        <w:t>25</w:t>
      </w:r>
      <w:r>
        <w:rPr>
          <w:rFonts w:ascii="Times New Roman" w:hAnsi="Times New Roman" w:cs="Times New Roman"/>
          <w:spacing w:val="-4"/>
          <w:kern w:val="2"/>
          <w:sz w:val="30"/>
          <w:szCs w:val="30"/>
          <w:lang w:val="en-US" w:bidi="ar"/>
        </w:rPr>
        <w:t>m</w:t>
      </w:r>
      <w:r>
        <w:rPr>
          <w:rFonts w:hint="eastAsia"/>
          <w:spacing w:val="-4"/>
          <w:kern w:val="2"/>
          <w:sz w:val="30"/>
          <w:szCs w:val="30"/>
          <w:lang w:val="en-US" w:bidi="ar"/>
        </w:rPr>
        <w:t>左右，据</w:t>
      </w:r>
      <w:r>
        <w:rPr>
          <w:rFonts w:hint="eastAsia" w:ascii="Times New Roman" w:hAnsi="Times New Roman"/>
          <w:spacing w:val="-4"/>
          <w:kern w:val="2"/>
          <w:sz w:val="30"/>
          <w:szCs w:val="30"/>
          <w:lang w:val="en-US" w:bidi="ar"/>
        </w:rPr>
        <w:t>8527</w:t>
      </w:r>
      <w:r>
        <w:rPr>
          <w:rFonts w:hint="eastAsia"/>
          <w:spacing w:val="-4"/>
          <w:kern w:val="2"/>
          <w:sz w:val="30"/>
          <w:szCs w:val="30"/>
          <w:lang w:val="en-US" w:bidi="ar"/>
        </w:rPr>
        <w:t>号孔抽水试验资料：水位标高</w:t>
      </w:r>
      <w:r>
        <w:rPr>
          <w:rFonts w:ascii="Times New Roman" w:hAnsi="Times New Roman" w:cs="Times New Roman"/>
          <w:spacing w:val="-4"/>
          <w:kern w:val="2"/>
          <w:sz w:val="30"/>
          <w:szCs w:val="30"/>
          <w:lang w:val="en-US" w:bidi="ar"/>
        </w:rPr>
        <w:t>1175.38m</w:t>
      </w:r>
      <w:r>
        <w:rPr>
          <w:rFonts w:hint="eastAsia"/>
          <w:spacing w:val="-4"/>
          <w:kern w:val="2"/>
          <w:sz w:val="30"/>
          <w:szCs w:val="30"/>
          <w:lang w:val="en-US" w:bidi="ar"/>
        </w:rPr>
        <w:t>，单位涌水量</w:t>
      </w:r>
      <w:r>
        <w:rPr>
          <w:rFonts w:hint="eastAsia" w:ascii="Times New Roman" w:hAnsi="Times New Roman"/>
          <w:spacing w:val="-4"/>
          <w:kern w:val="2"/>
          <w:sz w:val="30"/>
          <w:szCs w:val="30"/>
          <w:lang w:val="en-US" w:bidi="ar"/>
        </w:rPr>
        <w:t>q=</w:t>
      </w:r>
      <w:r>
        <w:rPr>
          <w:rFonts w:ascii="Times New Roman" w:hAnsi="Times New Roman" w:cs="Times New Roman"/>
          <w:spacing w:val="-4"/>
          <w:kern w:val="2"/>
          <w:sz w:val="30"/>
          <w:szCs w:val="30"/>
          <w:lang w:val="en-US" w:bidi="ar"/>
        </w:rPr>
        <w:t>0.0</w:t>
      </w:r>
      <w:r>
        <w:rPr>
          <w:rFonts w:hint="eastAsia" w:ascii="Times New Roman" w:hAnsi="Times New Roman"/>
          <w:spacing w:val="-4"/>
          <w:kern w:val="2"/>
          <w:sz w:val="30"/>
          <w:szCs w:val="30"/>
          <w:lang w:val="en-US" w:bidi="ar"/>
        </w:rPr>
        <w:t>00134</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 xml:space="preserve">0.1131 </w:t>
      </w:r>
      <w:r>
        <w:rPr>
          <w:rFonts w:ascii="华文行楷" w:hAnsi="Times New Roman" w:eastAsia="华文行楷" w:cs="华文行楷"/>
          <w:spacing w:val="-4"/>
          <w:kern w:val="2"/>
          <w:sz w:val="30"/>
          <w:szCs w:val="30"/>
          <w:lang w:val="en-US" w:bidi="ar"/>
        </w:rPr>
        <w:t>L</w:t>
      </w:r>
      <w:r>
        <w:rPr>
          <w:rFonts w:ascii="Times New Roman" w:hAnsi="Times New Roman" w:cs="Times New Roman"/>
          <w:spacing w:val="-4"/>
          <w:kern w:val="2"/>
          <w:sz w:val="30"/>
          <w:szCs w:val="30"/>
          <w:lang w:val="en-US" w:bidi="ar"/>
        </w:rPr>
        <w:t>/s·m</w:t>
      </w:r>
      <w:r>
        <w:rPr>
          <w:rFonts w:hint="eastAsia"/>
          <w:spacing w:val="-4"/>
          <w:kern w:val="2"/>
          <w:sz w:val="30"/>
          <w:szCs w:val="30"/>
          <w:lang w:val="en-US" w:bidi="ar"/>
        </w:rPr>
        <w:t>，渗透系数</w:t>
      </w:r>
      <w:r>
        <w:rPr>
          <w:rFonts w:hint="eastAsia" w:ascii="Times New Roman" w:hAnsi="Times New Roman"/>
          <w:spacing w:val="-4"/>
          <w:kern w:val="2"/>
          <w:sz w:val="30"/>
          <w:szCs w:val="30"/>
          <w:lang w:val="en-US" w:bidi="ar"/>
        </w:rPr>
        <w:t>K=</w:t>
      </w:r>
      <w:r>
        <w:rPr>
          <w:rFonts w:ascii="Times New Roman" w:hAnsi="Times New Roman" w:cs="Times New Roman"/>
          <w:spacing w:val="-4"/>
          <w:kern w:val="2"/>
          <w:sz w:val="30"/>
          <w:szCs w:val="30"/>
          <w:lang w:val="en-US" w:bidi="ar"/>
        </w:rPr>
        <w:t>0.</w:t>
      </w:r>
      <w:r>
        <w:rPr>
          <w:rFonts w:hint="eastAsia" w:ascii="Times New Roman" w:hAnsi="Times New Roman"/>
          <w:spacing w:val="-4"/>
          <w:kern w:val="2"/>
          <w:sz w:val="30"/>
          <w:szCs w:val="30"/>
          <w:lang w:val="en-US" w:bidi="ar"/>
        </w:rPr>
        <w:t>000525</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0.1555m/d</w:t>
      </w:r>
      <w:r>
        <w:rPr>
          <w:rFonts w:hint="eastAsia"/>
          <w:spacing w:val="-4"/>
          <w:kern w:val="2"/>
          <w:sz w:val="30"/>
          <w:szCs w:val="30"/>
          <w:lang w:val="en-US" w:bidi="ar"/>
        </w:rPr>
        <w:t>，矿化度</w:t>
      </w:r>
      <w:r>
        <w:rPr>
          <w:rFonts w:hint="eastAsia" w:ascii="Times New Roman" w:hAnsi="Times New Roman"/>
          <w:spacing w:val="-4"/>
          <w:kern w:val="2"/>
          <w:sz w:val="30"/>
          <w:szCs w:val="30"/>
          <w:lang w:val="en-US" w:bidi="ar"/>
        </w:rPr>
        <w:t>0</w:t>
      </w:r>
      <w:r>
        <w:rPr>
          <w:rFonts w:ascii="Times New Roman" w:hAnsi="Times New Roman" w:cs="Times New Roman"/>
          <w:spacing w:val="-4"/>
          <w:kern w:val="2"/>
          <w:sz w:val="30"/>
          <w:szCs w:val="30"/>
          <w:lang w:val="en-US" w:bidi="ar"/>
        </w:rPr>
        <w:t>.638</w:t>
      </w:r>
      <w:r>
        <w:rPr>
          <w:rFonts w:hint="eastAsia"/>
          <w:spacing w:val="-4"/>
          <w:kern w:val="2"/>
          <w:sz w:val="30"/>
          <w:szCs w:val="30"/>
          <w:lang w:val="en-US" w:bidi="ar"/>
        </w:rPr>
        <w:t>～</w:t>
      </w:r>
      <w:r>
        <w:rPr>
          <w:rFonts w:hint="eastAsia" w:ascii="Times New Roman" w:hAnsi="Times New Roman"/>
          <w:spacing w:val="-4"/>
          <w:kern w:val="2"/>
          <w:sz w:val="30"/>
          <w:szCs w:val="30"/>
          <w:lang w:val="en-US" w:bidi="ar"/>
        </w:rPr>
        <w:t>0</w:t>
      </w:r>
      <w:r>
        <w:rPr>
          <w:rFonts w:ascii="Times New Roman" w:hAnsi="Times New Roman" w:cs="Times New Roman"/>
          <w:spacing w:val="-4"/>
          <w:kern w:val="2"/>
          <w:sz w:val="30"/>
          <w:szCs w:val="30"/>
          <w:lang w:val="en-US" w:bidi="ar"/>
        </w:rPr>
        <w:t>.680g/</w:t>
      </w:r>
      <w:r>
        <w:rPr>
          <w:rFonts w:ascii="华文行楷" w:hAnsi="Times New Roman" w:eastAsia="华文行楷" w:cs="华文行楷"/>
          <w:spacing w:val="-4"/>
          <w:kern w:val="2"/>
          <w:sz w:val="30"/>
          <w:szCs w:val="30"/>
          <w:lang w:val="en-US" w:bidi="ar"/>
        </w:rPr>
        <w:t xml:space="preserve"> L</w:t>
      </w:r>
      <w:r>
        <w:rPr>
          <w:rFonts w:hint="eastAsia"/>
          <w:spacing w:val="-4"/>
          <w:kern w:val="2"/>
          <w:sz w:val="30"/>
          <w:szCs w:val="30"/>
          <w:lang w:val="en-US" w:bidi="ar"/>
        </w:rPr>
        <w:t>，水质类型为</w:t>
      </w:r>
      <w:r>
        <w:rPr>
          <w:rFonts w:hint="eastAsia" w:ascii="Times New Roman" w:hAnsi="Times New Roman"/>
          <w:spacing w:val="-4"/>
          <w:kern w:val="2"/>
          <w:sz w:val="30"/>
          <w:szCs w:val="30"/>
          <w:lang w:val="en-US" w:bidi="ar"/>
        </w:rPr>
        <w:t>HCO</w:t>
      </w:r>
      <w:r>
        <w:rPr>
          <w:rFonts w:hint="eastAsia" w:ascii="Times New Roman" w:hAnsi="Times New Roman"/>
          <w:spacing w:val="-4"/>
          <w:kern w:val="2"/>
          <w:sz w:val="30"/>
          <w:szCs w:val="30"/>
          <w:vertAlign w:val="subscript"/>
          <w:lang w:val="en-US" w:bidi="ar"/>
        </w:rPr>
        <w:t>3</w:t>
      </w:r>
      <w:r>
        <w:rPr>
          <w:rFonts w:hint="eastAsia" w:ascii="Times New Roman" w:hAnsi="Times New Roman"/>
          <w:spacing w:val="-4"/>
          <w:kern w:val="2"/>
          <w:sz w:val="30"/>
          <w:szCs w:val="30"/>
          <w:lang w:val="en-US" w:bidi="ar"/>
        </w:rPr>
        <w:t>·</w:t>
      </w:r>
      <w:r>
        <w:rPr>
          <w:rFonts w:ascii="Times New Roman" w:hAnsi="Times New Roman" w:cs="Times New Roman"/>
          <w:spacing w:val="-4"/>
          <w:kern w:val="2"/>
          <w:sz w:val="30"/>
          <w:szCs w:val="30"/>
          <w:lang w:val="en-US" w:bidi="ar"/>
        </w:rPr>
        <w:t>SO</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C1</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K+Na</w:t>
      </w:r>
      <w:r>
        <w:rPr>
          <w:rFonts w:hint="eastAsia" w:ascii="Times New Roman" w:hAnsi="Times New Roman"/>
          <w:spacing w:val="-4"/>
          <w:kern w:val="2"/>
          <w:sz w:val="30"/>
          <w:szCs w:val="30"/>
          <w:lang w:val="en-US" w:bidi="ar"/>
        </w:rPr>
        <w:t>+G</w:t>
      </w:r>
      <w:r>
        <w:rPr>
          <w:rFonts w:ascii="Times New Roman" w:hAnsi="Times New Roman" w:cs="Times New Roman"/>
          <w:spacing w:val="-4"/>
          <w:kern w:val="2"/>
          <w:sz w:val="30"/>
          <w:szCs w:val="30"/>
          <w:lang w:val="en-US" w:bidi="ar"/>
        </w:rPr>
        <w:t>a</w:t>
      </w:r>
      <w:r>
        <w:rPr>
          <w:rFonts w:hint="eastAsia"/>
          <w:spacing w:val="-4"/>
          <w:kern w:val="2"/>
          <w:sz w:val="30"/>
          <w:szCs w:val="30"/>
          <w:lang w:val="en-US" w:bidi="ar"/>
        </w:rPr>
        <w:t>型，含裂隙承压水，富水性弱～中等。</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第二隔水层（</w:t>
      </w:r>
      <w:r>
        <w:rPr>
          <w:rFonts w:hint="eastAsia" w:ascii="Times New Roman" w:hAnsi="Times New Roman"/>
          <w:kern w:val="2"/>
          <w:sz w:val="30"/>
          <w:szCs w:val="30"/>
          <w:lang w:val="en-US" w:bidi="ar"/>
        </w:rPr>
        <w:t>P</w:t>
      </w:r>
      <w:r>
        <w:rPr>
          <w:rFonts w:hint="eastAsia" w:ascii="Times New Roman" w:hAnsi="Times New Roman"/>
          <w:kern w:val="2"/>
          <w:sz w:val="30"/>
          <w:szCs w:val="30"/>
          <w:vertAlign w:val="subscript"/>
          <w:lang w:val="en-US" w:bidi="ar"/>
        </w:rPr>
        <w:t>1S</w:t>
      </w:r>
      <w:r>
        <w:rPr>
          <w:rFonts w:hint="eastAsia" w:ascii="Times New Roman" w:hAnsi="Times New Roman"/>
          <w:kern w:val="2"/>
          <w:sz w:val="30"/>
          <w:szCs w:val="30"/>
          <w:vertAlign w:val="superscript"/>
          <w:lang w:val="en-US" w:bidi="ar"/>
        </w:rPr>
        <w:t>1</w:t>
      </w:r>
      <w:r>
        <w:rPr>
          <w:rFonts w:hint="eastAsia"/>
          <w:kern w:val="2"/>
          <w:sz w:val="30"/>
          <w:szCs w:val="30"/>
          <w:lang w:val="en-US" w:bidi="ar"/>
        </w:rPr>
        <w:t>、</w:t>
      </w:r>
      <w:r>
        <w:rPr>
          <w:rFonts w:hint="eastAsia" w:ascii="Times New Roman" w:hAnsi="Times New Roman"/>
          <w:kern w:val="2"/>
          <w:sz w:val="30"/>
          <w:szCs w:val="30"/>
          <w:lang w:val="en-US" w:bidi="ar"/>
        </w:rPr>
        <w:t>8</w:t>
      </w:r>
      <w:r>
        <w:rPr>
          <w:rFonts w:hint="eastAsia" w:ascii="Times New Roman" w:hAnsi="Times New Roman"/>
          <w:kern w:val="2"/>
          <w:sz w:val="30"/>
          <w:szCs w:val="30"/>
          <w:vertAlign w:val="superscript"/>
          <w:lang w:val="en-US" w:bidi="ar"/>
        </w:rPr>
        <w:t>#</w:t>
      </w:r>
      <w:r>
        <w:rPr>
          <w:rFonts w:hint="eastAsia"/>
          <w:kern w:val="2"/>
          <w:sz w:val="30"/>
          <w:szCs w:val="30"/>
          <w:lang w:val="en-US" w:bidi="ar"/>
        </w:rPr>
        <w:t>、</w:t>
      </w:r>
      <w:r>
        <w:rPr>
          <w:rFonts w:hint="eastAsia" w:ascii="Times New Roman" w:hAnsi="Times New Roman"/>
          <w:kern w:val="2"/>
          <w:sz w:val="30"/>
          <w:szCs w:val="30"/>
          <w:lang w:val="en-US" w:bidi="ar"/>
        </w:rPr>
        <w:t>9</w:t>
      </w:r>
      <w:r>
        <w:rPr>
          <w:rFonts w:hint="eastAsia" w:ascii="Times New Roman" w:hAnsi="Times New Roman"/>
          <w:kern w:val="2"/>
          <w:sz w:val="30"/>
          <w:szCs w:val="30"/>
          <w:vertAlign w:val="superscript"/>
          <w:lang w:val="en-US" w:bidi="ar"/>
        </w:rPr>
        <w:t>#</w:t>
      </w:r>
      <w:r>
        <w:rPr>
          <w:rFonts w:hint="eastAsia"/>
          <w:kern w:val="2"/>
          <w:sz w:val="30"/>
          <w:szCs w:val="30"/>
          <w:lang w:val="en-US" w:bidi="ar"/>
        </w:rPr>
        <w:t>）：岩性主要为粘土岩、砂质泥岩及</w:t>
      </w:r>
      <w:r>
        <w:rPr>
          <w:rFonts w:hint="eastAsia" w:ascii="Times New Roman" w:hAnsi="Times New Roman"/>
          <w:kern w:val="2"/>
          <w:sz w:val="30"/>
          <w:szCs w:val="30"/>
          <w:lang w:val="en-US" w:bidi="ar"/>
        </w:rPr>
        <w:t>8</w:t>
      </w:r>
      <w:r>
        <w:rPr>
          <w:rFonts w:hint="eastAsia"/>
          <w:kern w:val="2"/>
          <w:sz w:val="30"/>
          <w:szCs w:val="30"/>
          <w:lang w:val="en-US" w:bidi="ar"/>
        </w:rPr>
        <w:t>、</w:t>
      </w:r>
      <w:r>
        <w:rPr>
          <w:rFonts w:ascii="Times New Roman" w:hAnsi="Times New Roman" w:cs="Times New Roman"/>
          <w:kern w:val="2"/>
          <w:sz w:val="30"/>
          <w:szCs w:val="30"/>
          <w:lang w:val="en-US" w:bidi="ar"/>
        </w:rPr>
        <w:t>9</w:t>
      </w:r>
      <w:r>
        <w:rPr>
          <w:rFonts w:hint="eastAsia"/>
          <w:kern w:val="2"/>
          <w:sz w:val="30"/>
          <w:szCs w:val="30"/>
          <w:lang w:val="en-US" w:bidi="ar"/>
        </w:rPr>
        <w:t>号煤层，厚度</w:t>
      </w:r>
      <w:r>
        <w:rPr>
          <w:rFonts w:ascii="Times New Roman" w:hAnsi="Times New Roman" w:cs="Times New Roman"/>
          <w:kern w:val="2"/>
          <w:sz w:val="30"/>
          <w:szCs w:val="30"/>
          <w:lang w:val="en-US" w:bidi="ar"/>
        </w:rPr>
        <w:t>10m</w:t>
      </w:r>
      <w:r>
        <w:rPr>
          <w:rFonts w:hint="eastAsia"/>
          <w:kern w:val="2"/>
          <w:sz w:val="30"/>
          <w:szCs w:val="30"/>
          <w:lang w:val="en-US" w:bidi="ar"/>
        </w:rPr>
        <w:t>，隔水性能良好。</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第</w:t>
      </w:r>
      <w:r>
        <w:rPr>
          <w:rFonts w:hint="eastAsia" w:ascii="Times New Roman" w:hAnsi="Times New Roman"/>
          <w:kern w:val="2"/>
          <w:sz w:val="30"/>
          <w:szCs w:val="30"/>
          <w:lang w:val="en-US" w:bidi="ar"/>
        </w:rPr>
        <w:t>Ⅲ含水带（</w:t>
      </w:r>
      <w:r>
        <w:rPr>
          <w:rFonts w:ascii="Times New Roman" w:hAnsi="Times New Roman" w:cs="Times New Roman"/>
          <w:kern w:val="2"/>
          <w:sz w:val="30"/>
          <w:szCs w:val="30"/>
          <w:lang w:val="en-US" w:bidi="ar"/>
        </w:rPr>
        <w:t>C</w:t>
      </w:r>
      <w:r>
        <w:rPr>
          <w:rFonts w:hint="eastAsia" w:ascii="Times New Roman" w:hAnsi="Times New Roman"/>
          <w:kern w:val="2"/>
          <w:sz w:val="30"/>
          <w:szCs w:val="30"/>
          <w:vertAlign w:val="subscript"/>
          <w:lang w:val="en-US" w:bidi="ar"/>
        </w:rPr>
        <w:t>2</w:t>
      </w:r>
      <w:r>
        <w:rPr>
          <w:rFonts w:ascii="Times New Roman" w:hAnsi="Times New Roman" w:cs="Times New Roman"/>
          <w:kern w:val="2"/>
          <w:sz w:val="30"/>
          <w:szCs w:val="30"/>
          <w:vertAlign w:val="subscript"/>
          <w:lang w:val="en-US" w:bidi="ar"/>
        </w:rPr>
        <w:t>t</w:t>
      </w:r>
      <w:r>
        <w:rPr>
          <w:rFonts w:hint="eastAsia" w:ascii="Times New Roman" w:hAnsi="Times New Roman"/>
          <w:kern w:val="2"/>
          <w:sz w:val="30"/>
          <w:szCs w:val="30"/>
          <w:vertAlign w:val="superscript"/>
          <w:lang w:val="en-US" w:bidi="ar"/>
        </w:rPr>
        <w:t>2</w:t>
      </w:r>
      <w:r>
        <w:rPr>
          <w:rFonts w:hint="eastAsia"/>
          <w:kern w:val="2"/>
          <w:sz w:val="30"/>
          <w:szCs w:val="30"/>
          <w:lang w:val="en-US" w:bidi="ar"/>
        </w:rPr>
        <w:t>、</w:t>
      </w:r>
      <w:r>
        <w:rPr>
          <w:rFonts w:hint="eastAsia" w:ascii="Times New Roman" w:hAnsi="Times New Roman"/>
          <w:kern w:val="2"/>
          <w:sz w:val="30"/>
          <w:szCs w:val="30"/>
          <w:lang w:val="en-US" w:bidi="ar"/>
        </w:rPr>
        <w:t>9</w:t>
      </w:r>
      <w:r>
        <w:rPr>
          <w:rFonts w:hint="eastAsia" w:ascii="Times New Roman" w:hAnsi="Times New Roman"/>
          <w:kern w:val="2"/>
          <w:sz w:val="30"/>
          <w:szCs w:val="30"/>
          <w:vertAlign w:val="superscript"/>
          <w:lang w:val="en-US" w:bidi="ar"/>
        </w:rPr>
        <w:t>#</w:t>
      </w:r>
      <w:r>
        <w:rPr>
          <w:rFonts w:hint="eastAsia" w:ascii="Times New Roman" w:hAnsi="Times New Roman"/>
          <w:kern w:val="2"/>
          <w:sz w:val="30"/>
          <w:szCs w:val="30"/>
          <w:lang w:val="en-US" w:bidi="ar"/>
        </w:rPr>
        <w:t>—</w:t>
      </w:r>
      <w:r>
        <w:rPr>
          <w:rFonts w:ascii="Times New Roman" w:hAnsi="Times New Roman" w:cs="Times New Roman"/>
          <w:kern w:val="2"/>
          <w:sz w:val="30"/>
          <w:szCs w:val="30"/>
          <w:lang w:val="en-US" w:bidi="ar"/>
        </w:rPr>
        <w:t>16</w:t>
      </w:r>
      <w:r>
        <w:rPr>
          <w:rFonts w:hint="eastAsia" w:ascii="Times New Roman" w:hAnsi="Times New Roman"/>
          <w:kern w:val="2"/>
          <w:sz w:val="30"/>
          <w:szCs w:val="30"/>
          <w:vertAlign w:val="superscript"/>
          <w:lang w:val="en-US" w:bidi="ar"/>
        </w:rPr>
        <w:t>#</w:t>
      </w:r>
      <w:r>
        <w:rPr>
          <w:rFonts w:hint="eastAsia"/>
          <w:kern w:val="2"/>
          <w:sz w:val="30"/>
          <w:szCs w:val="30"/>
          <w:lang w:val="en-US" w:bidi="ar"/>
        </w:rPr>
        <w:t>煤层之间）：含水层岩性为灰白、浅灰色细粒砂岩，局部为中粒砂岩，含水层厚度</w:t>
      </w:r>
      <w:r>
        <w:rPr>
          <w:rFonts w:hint="eastAsia" w:ascii="Times New Roman" w:hAnsi="Times New Roman"/>
          <w:kern w:val="2"/>
          <w:sz w:val="30"/>
          <w:szCs w:val="30"/>
          <w:lang w:val="en-US" w:bidi="ar"/>
        </w:rPr>
        <w:t>15</w:t>
      </w:r>
      <w:r>
        <w:rPr>
          <w:rFonts w:ascii="Times New Roman" w:hAnsi="Times New Roman" w:cs="Times New Roman"/>
          <w:kern w:val="2"/>
          <w:sz w:val="30"/>
          <w:szCs w:val="30"/>
          <w:lang w:val="en-US" w:bidi="ar"/>
        </w:rPr>
        <w:t>m</w:t>
      </w:r>
      <w:r>
        <w:rPr>
          <w:rFonts w:hint="eastAsia"/>
          <w:kern w:val="2"/>
          <w:sz w:val="30"/>
          <w:szCs w:val="30"/>
          <w:lang w:val="en-US" w:bidi="ar"/>
        </w:rPr>
        <w:t>左右。据</w:t>
      </w:r>
      <w:r>
        <w:rPr>
          <w:rFonts w:hint="eastAsia" w:ascii="Times New Roman" w:hAnsi="Times New Roman"/>
          <w:kern w:val="2"/>
          <w:sz w:val="30"/>
          <w:szCs w:val="30"/>
          <w:lang w:val="en-US" w:bidi="ar"/>
        </w:rPr>
        <w:t>8515</w:t>
      </w:r>
      <w:r>
        <w:rPr>
          <w:rFonts w:hint="eastAsia"/>
          <w:kern w:val="2"/>
          <w:sz w:val="30"/>
          <w:szCs w:val="30"/>
          <w:lang w:val="en-US" w:bidi="ar"/>
        </w:rPr>
        <w:t>号孔抽水试验资料：水位标高</w:t>
      </w:r>
      <w:r>
        <w:rPr>
          <w:rFonts w:ascii="Times New Roman" w:hAnsi="Times New Roman" w:cs="Times New Roman"/>
          <w:kern w:val="2"/>
          <w:sz w:val="30"/>
          <w:szCs w:val="30"/>
          <w:lang w:val="en-US" w:bidi="ar"/>
        </w:rPr>
        <w:t>1202.17m</w:t>
      </w:r>
      <w:r>
        <w:rPr>
          <w:rFonts w:hint="eastAsia"/>
          <w:kern w:val="2"/>
          <w:sz w:val="30"/>
          <w:szCs w:val="30"/>
          <w:lang w:val="en-US" w:bidi="ar"/>
        </w:rPr>
        <w:t>，单位涌水量</w:t>
      </w:r>
      <w:r>
        <w:rPr>
          <w:rFonts w:hint="eastAsia" w:ascii="Times New Roman" w:hAnsi="Times New Roman"/>
          <w:kern w:val="2"/>
          <w:sz w:val="30"/>
          <w:szCs w:val="30"/>
          <w:lang w:val="en-US" w:bidi="ar"/>
        </w:rPr>
        <w:t>q=</w:t>
      </w:r>
      <w:r>
        <w:rPr>
          <w:rFonts w:ascii="Times New Roman" w:hAnsi="Times New Roman" w:cs="Times New Roman"/>
          <w:kern w:val="2"/>
          <w:sz w:val="30"/>
          <w:szCs w:val="30"/>
          <w:lang w:val="en-US" w:bidi="ar"/>
        </w:rPr>
        <w:t>0.0</w:t>
      </w:r>
      <w:r>
        <w:rPr>
          <w:rFonts w:hint="eastAsia" w:ascii="Times New Roman" w:hAnsi="Times New Roman"/>
          <w:kern w:val="2"/>
          <w:sz w:val="30"/>
          <w:szCs w:val="30"/>
          <w:lang w:val="en-US" w:bidi="ar"/>
        </w:rPr>
        <w:t>00</w:t>
      </w:r>
      <w:r>
        <w:rPr>
          <w:rFonts w:ascii="Times New Roman" w:hAnsi="Times New Roman" w:cs="Times New Roman"/>
          <w:kern w:val="2"/>
          <w:sz w:val="30"/>
          <w:szCs w:val="30"/>
          <w:lang w:val="en-US" w:bidi="ar"/>
        </w:rPr>
        <w:t xml:space="preserve">442 </w:t>
      </w:r>
      <w:r>
        <w:rPr>
          <w:rFonts w:ascii="华文行楷" w:hAnsi="Times New Roman" w:eastAsia="华文行楷" w:cs="华文行楷"/>
          <w:spacing w:val="-4"/>
          <w:kern w:val="2"/>
          <w:sz w:val="30"/>
          <w:szCs w:val="30"/>
          <w:lang w:val="en-US" w:bidi="ar"/>
        </w:rPr>
        <w:t>L</w:t>
      </w:r>
      <w:r>
        <w:rPr>
          <w:rFonts w:ascii="Times New Roman" w:hAnsi="Times New Roman" w:cs="Times New Roman"/>
          <w:kern w:val="2"/>
          <w:sz w:val="30"/>
          <w:szCs w:val="30"/>
          <w:lang w:val="en-US" w:bidi="ar"/>
        </w:rPr>
        <w:t xml:space="preserve"> /s·m</w:t>
      </w:r>
      <w:r>
        <w:rPr>
          <w:rFonts w:hint="eastAsia"/>
          <w:kern w:val="2"/>
          <w:sz w:val="30"/>
          <w:szCs w:val="30"/>
          <w:lang w:val="en-US" w:bidi="ar"/>
        </w:rPr>
        <w:t>，渗透系数</w:t>
      </w:r>
      <w:r>
        <w:rPr>
          <w:rFonts w:hint="eastAsia" w:ascii="Times New Roman" w:hAnsi="Times New Roman"/>
          <w:kern w:val="2"/>
          <w:sz w:val="30"/>
          <w:szCs w:val="30"/>
          <w:lang w:val="en-US" w:bidi="ar"/>
        </w:rPr>
        <w:t>K=</w:t>
      </w:r>
      <w:r>
        <w:rPr>
          <w:rFonts w:ascii="Times New Roman" w:hAnsi="Times New Roman" w:cs="Times New Roman"/>
          <w:kern w:val="2"/>
          <w:sz w:val="30"/>
          <w:szCs w:val="30"/>
          <w:lang w:val="en-US" w:bidi="ar"/>
        </w:rPr>
        <w:t>0.</w:t>
      </w:r>
      <w:r>
        <w:rPr>
          <w:rFonts w:hint="eastAsia" w:ascii="Times New Roman" w:hAnsi="Times New Roman"/>
          <w:kern w:val="2"/>
          <w:sz w:val="30"/>
          <w:szCs w:val="30"/>
          <w:lang w:val="en-US" w:bidi="ar"/>
        </w:rPr>
        <w:t>000</w:t>
      </w:r>
      <w:r>
        <w:rPr>
          <w:rFonts w:ascii="Times New Roman" w:hAnsi="Times New Roman" w:cs="Times New Roman"/>
          <w:kern w:val="2"/>
          <w:sz w:val="30"/>
          <w:szCs w:val="30"/>
          <w:lang w:val="en-US" w:bidi="ar"/>
        </w:rPr>
        <w:t>362m/d</w:t>
      </w:r>
      <w:r>
        <w:rPr>
          <w:rFonts w:hint="eastAsia"/>
          <w:kern w:val="2"/>
          <w:sz w:val="30"/>
          <w:szCs w:val="30"/>
          <w:lang w:val="en-US" w:bidi="ar"/>
        </w:rPr>
        <w:t>，总硬度</w:t>
      </w:r>
      <w:r>
        <w:rPr>
          <w:rFonts w:ascii="Times New Roman" w:hAnsi="Times New Roman" w:cs="Times New Roman"/>
          <w:kern w:val="2"/>
          <w:sz w:val="30"/>
          <w:szCs w:val="30"/>
          <w:lang w:val="en-US" w:bidi="ar"/>
        </w:rPr>
        <w:t>4.62</w:t>
      </w:r>
      <w:r>
        <w:rPr>
          <w:rFonts w:hint="eastAsia"/>
          <w:kern w:val="2"/>
          <w:sz w:val="30"/>
          <w:szCs w:val="30"/>
          <w:lang w:val="en-US" w:bidi="ar"/>
        </w:rPr>
        <w:t>，矿化度</w:t>
      </w:r>
      <w:r>
        <w:rPr>
          <w:rFonts w:ascii="Times New Roman" w:hAnsi="Times New Roman" w:cs="Times New Roman"/>
          <w:kern w:val="2"/>
          <w:sz w:val="30"/>
          <w:szCs w:val="30"/>
          <w:lang w:val="en-US" w:bidi="ar"/>
        </w:rPr>
        <w:t>1.12g/</w:t>
      </w:r>
      <w:r>
        <w:rPr>
          <w:rFonts w:ascii="华文行楷" w:hAnsi="Times New Roman" w:eastAsia="华文行楷" w:cs="华文行楷"/>
          <w:spacing w:val="-4"/>
          <w:kern w:val="2"/>
          <w:sz w:val="30"/>
          <w:szCs w:val="30"/>
          <w:lang w:val="en-US" w:bidi="ar"/>
        </w:rPr>
        <w:t xml:space="preserve"> L</w:t>
      </w:r>
      <w:r>
        <w:rPr>
          <w:rFonts w:hint="eastAsia"/>
          <w:kern w:val="2"/>
          <w:sz w:val="30"/>
          <w:szCs w:val="30"/>
          <w:lang w:val="en-US" w:bidi="ar"/>
        </w:rPr>
        <w:t>，水质类型为</w:t>
      </w:r>
      <w:r>
        <w:rPr>
          <w:rFonts w:hint="eastAsia" w:ascii="Times New Roman" w:hAnsi="Times New Roman"/>
          <w:kern w:val="2"/>
          <w:sz w:val="30"/>
          <w:szCs w:val="30"/>
          <w:lang w:val="en-US" w:bidi="ar"/>
        </w:rPr>
        <w:t>SO</w:t>
      </w:r>
      <w:r>
        <w:rPr>
          <w:rFonts w:hint="eastAsia"/>
          <w:kern w:val="2"/>
          <w:sz w:val="30"/>
          <w:szCs w:val="30"/>
          <w:lang w:val="en-US" w:bidi="ar"/>
        </w:rPr>
        <w:t>·</w:t>
      </w:r>
      <w:r>
        <w:rPr>
          <w:rFonts w:ascii="Times New Roman" w:hAnsi="Times New Roman" w:cs="Times New Roman"/>
          <w:kern w:val="2"/>
          <w:sz w:val="30"/>
          <w:szCs w:val="30"/>
          <w:lang w:val="en-US" w:bidi="ar"/>
        </w:rPr>
        <w:t>HCO</w:t>
      </w:r>
      <w:r>
        <w:rPr>
          <w:rFonts w:hint="eastAsia" w:ascii="Times New Roman" w:hAnsi="Times New Roman"/>
          <w:kern w:val="2"/>
          <w:sz w:val="30"/>
          <w:szCs w:val="30"/>
          <w:vertAlign w:val="subscript"/>
          <w:lang w:val="en-US" w:bidi="ar"/>
        </w:rPr>
        <w:t>3</w:t>
      </w:r>
      <w:r>
        <w:rPr>
          <w:rFonts w:hint="eastAsia" w:ascii="Times New Roman" w:hAnsi="Times New Roman"/>
          <w:kern w:val="2"/>
          <w:sz w:val="30"/>
          <w:szCs w:val="30"/>
          <w:lang w:val="en-US" w:bidi="ar"/>
        </w:rPr>
        <w:t>·</w:t>
      </w:r>
      <w:r>
        <w:rPr>
          <w:rFonts w:ascii="Times New Roman" w:hAnsi="Times New Roman" w:cs="Times New Roman"/>
          <w:kern w:val="2"/>
          <w:sz w:val="30"/>
          <w:szCs w:val="30"/>
          <w:lang w:val="en-US" w:bidi="ar"/>
        </w:rPr>
        <w:t>C1</w:t>
      </w:r>
      <w:r>
        <w:rPr>
          <w:rFonts w:hint="eastAsia"/>
          <w:kern w:val="2"/>
          <w:sz w:val="30"/>
          <w:szCs w:val="30"/>
          <w:lang w:val="en-US" w:bidi="ar"/>
        </w:rPr>
        <w:t>—</w:t>
      </w:r>
      <w:r>
        <w:rPr>
          <w:rFonts w:ascii="Times New Roman" w:hAnsi="Times New Roman" w:cs="Times New Roman"/>
          <w:kern w:val="2"/>
          <w:sz w:val="30"/>
          <w:szCs w:val="30"/>
          <w:lang w:val="en-US" w:bidi="ar"/>
        </w:rPr>
        <w:t>K+Na</w:t>
      </w:r>
      <w:r>
        <w:rPr>
          <w:rFonts w:hint="eastAsia" w:ascii="Times New Roman" w:hAnsi="Times New Roman"/>
          <w:kern w:val="2"/>
          <w:sz w:val="30"/>
          <w:szCs w:val="30"/>
          <w:lang w:val="en-US" w:bidi="ar"/>
        </w:rPr>
        <w:t>+G</w:t>
      </w:r>
      <w:r>
        <w:rPr>
          <w:rFonts w:ascii="Times New Roman" w:hAnsi="Times New Roman" w:cs="Times New Roman"/>
          <w:kern w:val="2"/>
          <w:sz w:val="30"/>
          <w:szCs w:val="30"/>
          <w:lang w:val="en-US" w:bidi="ar"/>
        </w:rPr>
        <w:t>a</w:t>
      </w:r>
      <w:r>
        <w:rPr>
          <w:rFonts w:hint="eastAsia"/>
          <w:kern w:val="2"/>
          <w:sz w:val="30"/>
          <w:szCs w:val="30"/>
          <w:lang w:val="en-US" w:bidi="ar"/>
        </w:rPr>
        <w:t>型，含裂隙承压水，富水性弱。</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cs="Times New Roman"/>
          <w:kern w:val="2"/>
          <w:sz w:val="30"/>
          <w:szCs w:val="30"/>
        </w:rPr>
      </w:pPr>
      <w:r>
        <w:rPr>
          <w:rFonts w:hint="eastAsia"/>
          <w:kern w:val="2"/>
          <w:sz w:val="30"/>
          <w:szCs w:val="30"/>
          <w:lang w:val="en-US" w:bidi="ar"/>
        </w:rPr>
        <w:t>第三隔水层（</w:t>
      </w:r>
      <w:r>
        <w:rPr>
          <w:rFonts w:hint="eastAsia" w:ascii="Times New Roman" w:hAnsi="Times New Roman"/>
          <w:kern w:val="2"/>
          <w:sz w:val="30"/>
          <w:szCs w:val="30"/>
          <w:lang w:val="en-US" w:bidi="ar"/>
        </w:rPr>
        <w:t>16</w:t>
      </w:r>
      <w:r>
        <w:rPr>
          <w:rFonts w:hint="eastAsia" w:ascii="Times New Roman" w:hAnsi="Times New Roman"/>
          <w:kern w:val="2"/>
          <w:sz w:val="30"/>
          <w:szCs w:val="30"/>
          <w:vertAlign w:val="superscript"/>
          <w:lang w:val="en-US" w:bidi="ar"/>
        </w:rPr>
        <w:t>#</w:t>
      </w:r>
      <w:r>
        <w:rPr>
          <w:rFonts w:hint="eastAsia"/>
          <w:kern w:val="2"/>
          <w:sz w:val="30"/>
          <w:szCs w:val="30"/>
          <w:lang w:val="en-US" w:bidi="ar"/>
        </w:rPr>
        <w:t>煤）：岩性由煤层及砂质泥岩组成，一般</w:t>
      </w:r>
      <w:r>
        <w:rPr>
          <w:rFonts w:hint="eastAsia" w:ascii="Times New Roman" w:hAnsi="Times New Roman"/>
          <w:kern w:val="2"/>
          <w:sz w:val="30"/>
          <w:szCs w:val="30"/>
          <w:lang w:val="en-US" w:bidi="ar"/>
        </w:rPr>
        <w:t>6</w:t>
      </w:r>
      <w:r>
        <w:rPr>
          <w:rFonts w:ascii="Times New Roman" w:hAnsi="Times New Roman" w:cs="Times New Roman"/>
          <w:kern w:val="2"/>
          <w:sz w:val="30"/>
          <w:szCs w:val="30"/>
          <w:lang w:val="en-US" w:bidi="ar"/>
        </w:rPr>
        <w:t>m</w:t>
      </w:r>
      <w:r>
        <w:rPr>
          <w:rFonts w:hint="eastAsia"/>
          <w:kern w:val="2"/>
          <w:sz w:val="30"/>
          <w:szCs w:val="30"/>
          <w:lang w:val="en-US" w:bidi="ar"/>
        </w:rPr>
        <w:t>，隔水性能较好。</w:t>
      </w:r>
      <w:r>
        <w:rPr>
          <w:rFonts w:hint="eastAsia"/>
          <w:spacing w:val="4"/>
          <w:kern w:val="2"/>
          <w:sz w:val="30"/>
          <w:szCs w:val="30"/>
          <w:lang w:val="en-US" w:bidi="ar"/>
        </w:rPr>
        <w:t>第</w:t>
      </w:r>
      <w:r>
        <w:rPr>
          <w:rFonts w:hint="eastAsia" w:ascii="Times New Roman" w:hAnsi="Times New Roman"/>
          <w:spacing w:val="4"/>
          <w:kern w:val="2"/>
          <w:sz w:val="30"/>
          <w:szCs w:val="30"/>
          <w:lang w:val="en-US" w:bidi="ar"/>
        </w:rPr>
        <w:t>Ⅳ含水带（</w:t>
      </w:r>
      <w:r>
        <w:rPr>
          <w:rFonts w:ascii="Times New Roman" w:hAnsi="Times New Roman" w:cs="Times New Roman"/>
          <w:spacing w:val="4"/>
          <w:kern w:val="2"/>
          <w:sz w:val="30"/>
          <w:szCs w:val="30"/>
          <w:lang w:val="en-US" w:bidi="ar"/>
        </w:rPr>
        <w:t>16</w:t>
      </w:r>
      <w:r>
        <w:rPr>
          <w:rFonts w:hint="eastAsia" w:ascii="Times New Roman" w:hAnsi="Times New Roman"/>
          <w:spacing w:val="4"/>
          <w:kern w:val="2"/>
          <w:sz w:val="30"/>
          <w:szCs w:val="30"/>
          <w:vertAlign w:val="superscript"/>
          <w:lang w:val="en-US" w:bidi="ar"/>
        </w:rPr>
        <w:t>#</w:t>
      </w:r>
      <w:r>
        <w:rPr>
          <w:rFonts w:hint="eastAsia"/>
          <w:spacing w:val="4"/>
          <w:kern w:val="2"/>
          <w:sz w:val="30"/>
          <w:szCs w:val="30"/>
          <w:lang w:val="en-US" w:bidi="ar"/>
        </w:rPr>
        <w:t>煤层底</w:t>
      </w:r>
      <w:r>
        <w:rPr>
          <w:rFonts w:hint="eastAsia" w:ascii="Times New Roman" w:hAnsi="Times New Roman"/>
          <w:spacing w:val="4"/>
          <w:kern w:val="2"/>
          <w:sz w:val="30"/>
          <w:szCs w:val="30"/>
          <w:lang w:val="en-US" w:bidi="ar"/>
        </w:rPr>
        <w:t>—</w:t>
      </w:r>
      <w:r>
        <w:rPr>
          <w:rFonts w:ascii="Times New Roman" w:hAnsi="Times New Roman" w:cs="Times New Roman"/>
          <w:spacing w:val="4"/>
          <w:kern w:val="2"/>
          <w:sz w:val="30"/>
          <w:szCs w:val="30"/>
          <w:lang w:val="en-US" w:bidi="ar"/>
        </w:rPr>
        <w:t>O</w:t>
      </w:r>
      <w:r>
        <w:rPr>
          <w:rFonts w:hint="eastAsia" w:ascii="Times New Roman" w:hAnsi="Times New Roman"/>
          <w:spacing w:val="4"/>
          <w:kern w:val="2"/>
          <w:sz w:val="30"/>
          <w:szCs w:val="30"/>
          <w:vertAlign w:val="subscript"/>
          <w:lang w:val="en-US" w:bidi="ar"/>
        </w:rPr>
        <w:t>2</w:t>
      </w:r>
      <w:r>
        <w:rPr>
          <w:rFonts w:hint="eastAsia"/>
          <w:spacing w:val="4"/>
          <w:kern w:val="2"/>
          <w:sz w:val="30"/>
          <w:szCs w:val="30"/>
          <w:lang w:val="en-US" w:bidi="ar"/>
        </w:rPr>
        <w:t>）：岩性为灰白色细粒砂岩、中粒砂岩，局部有含砾粗砂岩。含水层厚度一般</w:t>
      </w:r>
      <w:r>
        <w:rPr>
          <w:rFonts w:hint="eastAsia" w:ascii="Times New Roman" w:hAnsi="Times New Roman"/>
          <w:spacing w:val="4"/>
          <w:kern w:val="2"/>
          <w:sz w:val="30"/>
          <w:szCs w:val="30"/>
          <w:lang w:val="en-US" w:bidi="ar"/>
        </w:rPr>
        <w:t>20</w:t>
      </w:r>
      <w:r>
        <w:rPr>
          <w:rFonts w:ascii="Times New Roman" w:hAnsi="Times New Roman" w:cs="Times New Roman"/>
          <w:spacing w:val="4"/>
          <w:kern w:val="2"/>
          <w:sz w:val="30"/>
          <w:szCs w:val="30"/>
          <w:lang w:val="en-US" w:bidi="ar"/>
        </w:rPr>
        <w:t>m</w:t>
      </w:r>
      <w:r>
        <w:rPr>
          <w:rFonts w:hint="eastAsia"/>
          <w:spacing w:val="4"/>
          <w:kern w:val="2"/>
          <w:sz w:val="30"/>
          <w:szCs w:val="30"/>
          <w:lang w:val="en-US" w:bidi="ar"/>
        </w:rPr>
        <w:t>左右，据</w:t>
      </w:r>
      <w:r>
        <w:rPr>
          <w:rFonts w:hint="eastAsia" w:ascii="Times New Roman" w:hAnsi="Times New Roman"/>
          <w:spacing w:val="4"/>
          <w:kern w:val="2"/>
          <w:sz w:val="30"/>
          <w:szCs w:val="30"/>
          <w:lang w:val="en-US" w:bidi="ar"/>
        </w:rPr>
        <w:t>8518</w:t>
      </w:r>
      <w:r>
        <w:rPr>
          <w:rFonts w:hint="eastAsia"/>
          <w:spacing w:val="4"/>
          <w:kern w:val="2"/>
          <w:sz w:val="30"/>
          <w:szCs w:val="30"/>
          <w:lang w:val="en-US" w:bidi="ar"/>
        </w:rPr>
        <w:t>号钻孔抽水试验资料：水位标高</w:t>
      </w:r>
      <w:r>
        <w:rPr>
          <w:rFonts w:ascii="Times New Roman" w:hAnsi="Times New Roman" w:cs="Times New Roman"/>
          <w:spacing w:val="4"/>
          <w:kern w:val="2"/>
          <w:sz w:val="30"/>
          <w:szCs w:val="30"/>
          <w:lang w:val="en-US" w:bidi="ar"/>
        </w:rPr>
        <w:t>1161.79m</w:t>
      </w:r>
      <w:r>
        <w:rPr>
          <w:rFonts w:hint="eastAsia"/>
          <w:spacing w:val="4"/>
          <w:kern w:val="2"/>
          <w:sz w:val="30"/>
          <w:szCs w:val="30"/>
          <w:lang w:val="en-US" w:bidi="ar"/>
        </w:rPr>
        <w:t>，单位涌水量</w:t>
      </w:r>
      <w:r>
        <w:rPr>
          <w:rFonts w:hint="eastAsia" w:ascii="Times New Roman" w:hAnsi="Times New Roman"/>
          <w:spacing w:val="4"/>
          <w:kern w:val="2"/>
          <w:sz w:val="30"/>
          <w:szCs w:val="30"/>
          <w:lang w:val="en-US" w:bidi="ar"/>
        </w:rPr>
        <w:t>q=</w:t>
      </w:r>
      <w:r>
        <w:rPr>
          <w:rFonts w:ascii="Times New Roman" w:hAnsi="Times New Roman" w:cs="Times New Roman"/>
          <w:spacing w:val="4"/>
          <w:kern w:val="2"/>
          <w:sz w:val="30"/>
          <w:szCs w:val="30"/>
          <w:lang w:val="en-US" w:bidi="ar"/>
        </w:rPr>
        <w:t>0.0</w:t>
      </w:r>
      <w:r>
        <w:rPr>
          <w:rFonts w:hint="eastAsia" w:ascii="Times New Roman" w:hAnsi="Times New Roman"/>
          <w:spacing w:val="4"/>
          <w:kern w:val="2"/>
          <w:sz w:val="30"/>
          <w:szCs w:val="30"/>
          <w:lang w:val="en-US" w:bidi="ar"/>
        </w:rPr>
        <w:t>00</w:t>
      </w:r>
      <w:r>
        <w:rPr>
          <w:rFonts w:ascii="Times New Roman" w:hAnsi="Times New Roman" w:cs="Times New Roman"/>
          <w:spacing w:val="4"/>
          <w:kern w:val="2"/>
          <w:sz w:val="30"/>
          <w:szCs w:val="30"/>
          <w:lang w:val="en-US" w:bidi="ar"/>
        </w:rPr>
        <w:t xml:space="preserve">254 </w:t>
      </w:r>
      <w:r>
        <w:rPr>
          <w:rFonts w:ascii="华文行楷" w:hAnsi="Times New Roman" w:eastAsia="华文行楷" w:cs="华文行楷"/>
          <w:spacing w:val="-4"/>
          <w:kern w:val="2"/>
          <w:sz w:val="30"/>
          <w:szCs w:val="30"/>
          <w:lang w:val="en-US" w:bidi="ar"/>
        </w:rPr>
        <w:t>L</w:t>
      </w:r>
      <w:r>
        <w:rPr>
          <w:rFonts w:ascii="Times New Roman" w:hAnsi="Times New Roman" w:cs="Times New Roman"/>
          <w:spacing w:val="4"/>
          <w:kern w:val="2"/>
          <w:sz w:val="30"/>
          <w:szCs w:val="30"/>
          <w:lang w:val="en-US" w:bidi="ar"/>
        </w:rPr>
        <w:t xml:space="preserve"> /s·m</w:t>
      </w:r>
      <w:r>
        <w:rPr>
          <w:rFonts w:hint="eastAsia"/>
          <w:spacing w:val="4"/>
          <w:kern w:val="2"/>
          <w:sz w:val="30"/>
          <w:szCs w:val="30"/>
          <w:lang w:val="en-US" w:bidi="ar"/>
        </w:rPr>
        <w:t>，渗透系数</w:t>
      </w:r>
      <w:r>
        <w:rPr>
          <w:rFonts w:hint="eastAsia" w:ascii="Times New Roman" w:hAnsi="Times New Roman"/>
          <w:spacing w:val="4"/>
          <w:kern w:val="2"/>
          <w:sz w:val="30"/>
          <w:szCs w:val="30"/>
          <w:lang w:val="en-US" w:bidi="ar"/>
        </w:rPr>
        <w:t>K=</w:t>
      </w:r>
      <w:r>
        <w:rPr>
          <w:rFonts w:ascii="Times New Roman" w:hAnsi="Times New Roman" w:cs="Times New Roman"/>
          <w:spacing w:val="4"/>
          <w:kern w:val="2"/>
          <w:sz w:val="30"/>
          <w:szCs w:val="30"/>
          <w:lang w:val="en-US" w:bidi="ar"/>
        </w:rPr>
        <w:t>0.</w:t>
      </w:r>
      <w:r>
        <w:rPr>
          <w:rFonts w:hint="eastAsia" w:ascii="Times New Roman" w:hAnsi="Times New Roman"/>
          <w:spacing w:val="4"/>
          <w:kern w:val="2"/>
          <w:sz w:val="30"/>
          <w:szCs w:val="30"/>
          <w:lang w:val="en-US" w:bidi="ar"/>
        </w:rPr>
        <w:t>000</w:t>
      </w:r>
      <w:r>
        <w:rPr>
          <w:rFonts w:ascii="Times New Roman" w:hAnsi="Times New Roman" w:cs="Times New Roman"/>
          <w:spacing w:val="4"/>
          <w:kern w:val="2"/>
          <w:sz w:val="30"/>
          <w:szCs w:val="30"/>
          <w:lang w:val="en-US" w:bidi="ar"/>
        </w:rPr>
        <w:t>139m/d</w:t>
      </w:r>
      <w:r>
        <w:rPr>
          <w:rFonts w:hint="eastAsia"/>
          <w:spacing w:val="4"/>
          <w:kern w:val="2"/>
          <w:sz w:val="30"/>
          <w:szCs w:val="30"/>
          <w:lang w:val="en-US" w:bidi="ar"/>
        </w:rPr>
        <w:t>，矿化度</w:t>
      </w:r>
      <w:r>
        <w:rPr>
          <w:rFonts w:ascii="Times New Roman" w:hAnsi="Times New Roman" w:cs="Times New Roman"/>
          <w:spacing w:val="4"/>
          <w:kern w:val="2"/>
          <w:sz w:val="30"/>
          <w:szCs w:val="30"/>
          <w:lang w:val="en-US" w:bidi="ar"/>
        </w:rPr>
        <w:t>3.675g/</w:t>
      </w:r>
      <w:r>
        <w:rPr>
          <w:rFonts w:ascii="华文行楷" w:hAnsi="Times New Roman" w:eastAsia="华文行楷" w:cs="华文行楷"/>
          <w:spacing w:val="-4"/>
          <w:kern w:val="2"/>
          <w:sz w:val="30"/>
          <w:szCs w:val="30"/>
          <w:lang w:val="en-US" w:bidi="ar"/>
        </w:rPr>
        <w:t xml:space="preserve"> L</w:t>
      </w:r>
      <w:r>
        <w:rPr>
          <w:rFonts w:hint="eastAsia"/>
          <w:spacing w:val="4"/>
          <w:kern w:val="2"/>
          <w:sz w:val="30"/>
          <w:szCs w:val="30"/>
          <w:lang w:val="en-US" w:bidi="ar"/>
        </w:rPr>
        <w:t>，水质类型</w:t>
      </w:r>
      <w:r>
        <w:rPr>
          <w:rFonts w:hint="eastAsia"/>
          <w:kern w:val="2"/>
          <w:sz w:val="30"/>
          <w:szCs w:val="30"/>
          <w:lang w:val="en-US" w:bidi="ar"/>
        </w:rPr>
        <w:t>为</w:t>
      </w:r>
      <w:r>
        <w:rPr>
          <w:rFonts w:hint="eastAsia" w:ascii="Times New Roman" w:hAnsi="Times New Roman"/>
          <w:kern w:val="2"/>
          <w:sz w:val="30"/>
          <w:szCs w:val="30"/>
          <w:lang w:val="en-US" w:bidi="ar"/>
        </w:rPr>
        <w:t>C1</w:t>
      </w:r>
      <w:r>
        <w:rPr>
          <w:rFonts w:hint="eastAsia"/>
          <w:kern w:val="2"/>
          <w:sz w:val="30"/>
          <w:szCs w:val="30"/>
          <w:lang w:val="en-US" w:bidi="ar"/>
        </w:rPr>
        <w:t>·</w:t>
      </w:r>
      <w:r>
        <w:rPr>
          <w:rFonts w:ascii="Times New Roman" w:hAnsi="Times New Roman" w:cs="Times New Roman"/>
          <w:kern w:val="2"/>
          <w:sz w:val="30"/>
          <w:szCs w:val="30"/>
          <w:lang w:val="en-US" w:bidi="ar"/>
        </w:rPr>
        <w:t>SO</w:t>
      </w:r>
      <w:r>
        <w:rPr>
          <w:rFonts w:hint="eastAsia"/>
          <w:kern w:val="2"/>
          <w:sz w:val="30"/>
          <w:szCs w:val="30"/>
          <w:lang w:val="en-US" w:bidi="ar"/>
        </w:rPr>
        <w:t>—</w:t>
      </w:r>
      <w:r>
        <w:rPr>
          <w:rFonts w:ascii="Times New Roman" w:hAnsi="Times New Roman" w:cs="Times New Roman"/>
          <w:kern w:val="2"/>
          <w:sz w:val="30"/>
          <w:szCs w:val="30"/>
          <w:lang w:val="en-US" w:bidi="ar"/>
        </w:rPr>
        <w:t>K+Na</w:t>
      </w:r>
      <w:r>
        <w:rPr>
          <w:rFonts w:hint="eastAsia" w:ascii="Times New Roman" w:hAnsi="Times New Roman"/>
          <w:kern w:val="2"/>
          <w:sz w:val="30"/>
          <w:szCs w:val="30"/>
          <w:lang w:val="en-US" w:bidi="ar"/>
        </w:rPr>
        <w:t>+</w:t>
      </w:r>
      <w:r>
        <w:rPr>
          <w:rFonts w:ascii="Times New Roman" w:hAnsi="Times New Roman" w:cs="Times New Roman"/>
          <w:kern w:val="2"/>
          <w:sz w:val="30"/>
          <w:szCs w:val="30"/>
          <w:lang w:val="en-US" w:bidi="ar"/>
        </w:rPr>
        <w:t>Mg</w:t>
      </w:r>
      <w:r>
        <w:rPr>
          <w:rFonts w:hint="eastAsia"/>
          <w:kern w:val="2"/>
          <w:sz w:val="30"/>
          <w:szCs w:val="30"/>
          <w:lang w:val="en-US" w:bidi="ar"/>
        </w:rPr>
        <w:t>型，含裂隙承压水，富水性弱。</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3</w:t>
      </w:r>
      <w:r>
        <w:rPr>
          <w:rFonts w:hint="eastAsia"/>
          <w:kern w:val="2"/>
          <w:sz w:val="30"/>
          <w:szCs w:val="30"/>
          <w:lang w:val="en-US" w:bidi="ar"/>
        </w:rPr>
        <w:t>、碳酸岩类裂隙水</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cs="Times New Roman"/>
          <w:kern w:val="2"/>
          <w:sz w:val="30"/>
          <w:szCs w:val="30"/>
        </w:rPr>
      </w:pPr>
      <w:r>
        <w:rPr>
          <w:rFonts w:hint="eastAsia"/>
          <w:kern w:val="2"/>
          <w:sz w:val="30"/>
          <w:szCs w:val="30"/>
          <w:lang w:val="en-US" w:bidi="ar"/>
        </w:rPr>
        <w:t>矿区的煤系基底为奥陶系灰岩，其上部的桌子山组（</w:t>
      </w:r>
      <w:r>
        <w:rPr>
          <w:rFonts w:hint="eastAsia" w:ascii="Times New Roman" w:hAnsi="Times New Roman"/>
          <w:kern w:val="2"/>
          <w:sz w:val="30"/>
          <w:szCs w:val="30"/>
          <w:lang w:val="en-US" w:bidi="ar"/>
        </w:rPr>
        <w:t>O</w:t>
      </w:r>
      <w:r>
        <w:rPr>
          <w:rFonts w:hint="eastAsia" w:ascii="Times New Roman" w:hAnsi="Times New Roman"/>
          <w:kern w:val="2"/>
          <w:sz w:val="30"/>
          <w:szCs w:val="30"/>
          <w:vertAlign w:val="subscript"/>
          <w:lang w:val="en-US" w:bidi="ar"/>
        </w:rPr>
        <w:t>1-2</w:t>
      </w:r>
      <w:r>
        <w:rPr>
          <w:rFonts w:hint="eastAsia"/>
          <w:kern w:val="2"/>
          <w:sz w:val="30"/>
          <w:szCs w:val="30"/>
          <w:lang w:val="en-US" w:bidi="ar"/>
        </w:rPr>
        <w:t>）岩性为巨厚层状的黑灰色灰岩，裂隙发育较好；下部的三道坎组岩性为石灰岩与石英砂岩互层，裂隙发育相对较差。据</w:t>
      </w:r>
      <w:r>
        <w:rPr>
          <w:rFonts w:hint="eastAsia" w:ascii="Times New Roman" w:hAnsi="Times New Roman"/>
          <w:kern w:val="2"/>
          <w:sz w:val="30"/>
          <w:szCs w:val="30"/>
          <w:lang w:val="en-US" w:bidi="ar"/>
        </w:rPr>
        <w:t>8523</w:t>
      </w:r>
      <w:r>
        <w:rPr>
          <w:rFonts w:hint="eastAsia"/>
          <w:kern w:val="2"/>
          <w:sz w:val="30"/>
          <w:szCs w:val="30"/>
          <w:lang w:val="en-US" w:bidi="ar"/>
        </w:rPr>
        <w:t>号钻孔对该含水岩组及</w:t>
      </w:r>
      <w:r>
        <w:rPr>
          <w:rFonts w:ascii="Times New Roman" w:hAnsi="Times New Roman" w:cs="Times New Roman"/>
          <w:kern w:val="2"/>
          <w:sz w:val="30"/>
          <w:szCs w:val="30"/>
          <w:lang w:val="en-US" w:bidi="ar"/>
        </w:rPr>
        <w:t>145</w:t>
      </w:r>
      <w:r>
        <w:rPr>
          <w:rFonts w:hint="eastAsia"/>
          <w:kern w:val="2"/>
          <w:sz w:val="30"/>
          <w:szCs w:val="30"/>
          <w:lang w:val="en-US" w:bidi="ar"/>
        </w:rPr>
        <w:t>号钻孔（包括</w:t>
      </w:r>
      <w:r>
        <w:rPr>
          <w:rFonts w:ascii="Times New Roman" w:hAnsi="Times New Roman" w:cs="Times New Roman"/>
          <w:kern w:val="2"/>
          <w:sz w:val="30"/>
          <w:szCs w:val="30"/>
          <w:lang w:val="en-US" w:bidi="ar"/>
        </w:rPr>
        <w:t>C</w:t>
      </w:r>
      <w:r>
        <w:rPr>
          <w:rFonts w:hint="eastAsia" w:ascii="Times New Roman" w:hAnsi="Times New Roman"/>
          <w:kern w:val="2"/>
          <w:sz w:val="30"/>
          <w:szCs w:val="30"/>
          <w:vertAlign w:val="subscript"/>
          <w:lang w:val="en-US" w:bidi="ar"/>
        </w:rPr>
        <w:t>2</w:t>
      </w:r>
      <w:r>
        <w:rPr>
          <w:rFonts w:ascii="Times New Roman" w:hAnsi="Times New Roman" w:cs="Times New Roman"/>
          <w:kern w:val="2"/>
          <w:sz w:val="30"/>
          <w:szCs w:val="30"/>
          <w:lang w:val="en-US" w:bidi="ar"/>
        </w:rPr>
        <w:t>b</w:t>
      </w:r>
      <w:r>
        <w:rPr>
          <w:rFonts w:hint="eastAsia"/>
          <w:kern w:val="2"/>
          <w:sz w:val="30"/>
          <w:szCs w:val="30"/>
          <w:lang w:val="en-US" w:bidi="ar"/>
        </w:rPr>
        <w:t>的一部分）的抽水试验资料：水位标高</w:t>
      </w:r>
      <w:r>
        <w:rPr>
          <w:rFonts w:hint="eastAsia" w:ascii="Times New Roman" w:hAnsi="Times New Roman"/>
          <w:spacing w:val="12"/>
          <w:kern w:val="2"/>
          <w:sz w:val="30"/>
          <w:szCs w:val="30"/>
          <w:lang w:val="en-US" w:bidi="ar"/>
        </w:rPr>
        <w:t>1</w:t>
      </w:r>
      <w:r>
        <w:rPr>
          <w:rFonts w:ascii="Times New Roman" w:hAnsi="Times New Roman" w:cs="Times New Roman"/>
          <w:spacing w:val="12"/>
          <w:kern w:val="2"/>
          <w:sz w:val="30"/>
          <w:szCs w:val="30"/>
          <w:lang w:val="en-US" w:bidi="ar"/>
        </w:rPr>
        <w:t>143.09</w:t>
      </w:r>
      <w:r>
        <w:rPr>
          <w:rFonts w:hint="eastAsia"/>
          <w:spacing w:val="12"/>
          <w:kern w:val="2"/>
          <w:sz w:val="30"/>
          <w:szCs w:val="30"/>
          <w:lang w:val="en-US" w:bidi="ar"/>
        </w:rPr>
        <w:t>～</w:t>
      </w:r>
      <w:r>
        <w:rPr>
          <w:rFonts w:ascii="Times New Roman" w:hAnsi="Times New Roman" w:cs="Times New Roman"/>
          <w:spacing w:val="12"/>
          <w:kern w:val="2"/>
          <w:sz w:val="30"/>
          <w:szCs w:val="30"/>
          <w:lang w:val="en-US" w:bidi="ar"/>
        </w:rPr>
        <w:t>1144.87m,</w:t>
      </w:r>
      <w:r>
        <w:rPr>
          <w:rFonts w:hint="eastAsia"/>
          <w:spacing w:val="12"/>
          <w:kern w:val="2"/>
          <w:sz w:val="30"/>
          <w:szCs w:val="30"/>
          <w:lang w:val="en-US" w:bidi="ar"/>
        </w:rPr>
        <w:t>涌水量</w:t>
      </w:r>
      <w:r>
        <w:rPr>
          <w:rFonts w:hint="eastAsia" w:ascii="Times New Roman" w:hAnsi="Times New Roman"/>
          <w:spacing w:val="12"/>
          <w:kern w:val="2"/>
          <w:sz w:val="30"/>
          <w:szCs w:val="30"/>
          <w:lang w:val="en-US" w:bidi="ar"/>
        </w:rPr>
        <w:t>q=</w:t>
      </w:r>
      <w:r>
        <w:rPr>
          <w:rFonts w:ascii="Times New Roman" w:hAnsi="Times New Roman" w:cs="Times New Roman"/>
          <w:spacing w:val="12"/>
          <w:kern w:val="2"/>
          <w:sz w:val="30"/>
          <w:szCs w:val="30"/>
          <w:lang w:val="en-US" w:bidi="ar"/>
        </w:rPr>
        <w:t>0.0</w:t>
      </w:r>
      <w:r>
        <w:rPr>
          <w:rFonts w:hint="eastAsia" w:ascii="Times New Roman" w:hAnsi="Times New Roman"/>
          <w:spacing w:val="12"/>
          <w:kern w:val="2"/>
          <w:sz w:val="30"/>
          <w:szCs w:val="30"/>
          <w:lang w:val="en-US" w:bidi="ar"/>
        </w:rPr>
        <w:t>0889</w:t>
      </w:r>
      <w:r>
        <w:rPr>
          <w:rFonts w:hint="eastAsia"/>
          <w:spacing w:val="12"/>
          <w:kern w:val="2"/>
          <w:sz w:val="30"/>
          <w:szCs w:val="30"/>
          <w:lang w:val="en-US" w:bidi="ar"/>
        </w:rPr>
        <w:t>～</w:t>
      </w:r>
      <w:r>
        <w:rPr>
          <w:rFonts w:ascii="Times New Roman" w:hAnsi="Times New Roman" w:cs="Times New Roman"/>
          <w:spacing w:val="12"/>
          <w:kern w:val="2"/>
          <w:sz w:val="30"/>
          <w:szCs w:val="30"/>
          <w:lang w:val="en-US" w:bidi="ar"/>
        </w:rPr>
        <w:t xml:space="preserve">1.33 </w:t>
      </w:r>
      <w:r>
        <w:rPr>
          <w:rFonts w:ascii="华文行楷" w:hAnsi="Times New Roman" w:eastAsia="华文行楷" w:cs="华文行楷"/>
          <w:spacing w:val="12"/>
          <w:kern w:val="2"/>
          <w:sz w:val="30"/>
          <w:szCs w:val="30"/>
          <w:lang w:val="en-US" w:bidi="ar"/>
        </w:rPr>
        <w:t>L</w:t>
      </w:r>
      <w:r>
        <w:rPr>
          <w:rFonts w:ascii="Times New Roman" w:hAnsi="Times New Roman" w:cs="Times New Roman"/>
          <w:spacing w:val="12"/>
          <w:kern w:val="2"/>
          <w:sz w:val="30"/>
          <w:szCs w:val="30"/>
          <w:lang w:val="en-US" w:bidi="ar"/>
        </w:rPr>
        <w:t xml:space="preserve"> /s·m</w:t>
      </w:r>
      <w:r>
        <w:rPr>
          <w:rFonts w:hint="eastAsia"/>
          <w:spacing w:val="12"/>
          <w:kern w:val="2"/>
          <w:sz w:val="30"/>
          <w:szCs w:val="30"/>
          <w:lang w:val="en-US" w:bidi="ar"/>
        </w:rPr>
        <w:t>，渗透系数</w:t>
      </w:r>
      <w:r>
        <w:rPr>
          <w:rFonts w:hint="eastAsia" w:ascii="Times New Roman" w:hAnsi="Times New Roman"/>
          <w:kern w:val="2"/>
          <w:sz w:val="30"/>
          <w:szCs w:val="30"/>
          <w:lang w:val="en-US" w:bidi="ar"/>
        </w:rPr>
        <w:t>K=</w:t>
      </w:r>
      <w:r>
        <w:rPr>
          <w:rFonts w:ascii="Times New Roman" w:hAnsi="Times New Roman" w:cs="Times New Roman"/>
          <w:kern w:val="2"/>
          <w:sz w:val="30"/>
          <w:szCs w:val="30"/>
          <w:lang w:val="en-US" w:bidi="ar"/>
        </w:rPr>
        <w:t>0.</w:t>
      </w:r>
      <w:r>
        <w:rPr>
          <w:rFonts w:hint="eastAsia" w:ascii="Times New Roman" w:hAnsi="Times New Roman"/>
          <w:kern w:val="2"/>
          <w:sz w:val="30"/>
          <w:szCs w:val="30"/>
          <w:lang w:val="en-US" w:bidi="ar"/>
        </w:rPr>
        <w:t>00</w:t>
      </w:r>
      <w:r>
        <w:rPr>
          <w:rFonts w:ascii="Times New Roman" w:hAnsi="Times New Roman" w:cs="Times New Roman"/>
          <w:kern w:val="2"/>
          <w:sz w:val="30"/>
          <w:szCs w:val="30"/>
          <w:lang w:val="en-US" w:bidi="ar"/>
        </w:rPr>
        <w:t>327</w:t>
      </w:r>
      <w:r>
        <w:rPr>
          <w:rFonts w:hint="eastAsia"/>
          <w:kern w:val="2"/>
          <w:sz w:val="30"/>
          <w:szCs w:val="30"/>
          <w:lang w:val="en-US" w:bidi="ar"/>
        </w:rPr>
        <w:t>～</w:t>
      </w:r>
      <w:r>
        <w:rPr>
          <w:rFonts w:ascii="Times New Roman" w:hAnsi="Times New Roman" w:cs="Times New Roman"/>
          <w:kern w:val="2"/>
          <w:sz w:val="30"/>
          <w:szCs w:val="30"/>
          <w:lang w:val="en-US" w:bidi="ar"/>
        </w:rPr>
        <w:t>0.330m/d</w:t>
      </w:r>
      <w:r>
        <w:rPr>
          <w:rFonts w:hint="eastAsia"/>
          <w:kern w:val="2"/>
          <w:sz w:val="30"/>
          <w:szCs w:val="30"/>
          <w:lang w:val="en-US" w:bidi="ar"/>
        </w:rPr>
        <w:t>，含裂隙承压水，富水性弱～中等。</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（二）断层的导水性及其对矿床充水的影响</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矿区西部被西来峰逆断层切割，断距大于</w:t>
      </w:r>
      <w:r>
        <w:rPr>
          <w:rFonts w:hint="eastAsia" w:ascii="Times New Roman" w:hAnsi="Times New Roman"/>
          <w:kern w:val="2"/>
          <w:sz w:val="30"/>
          <w:szCs w:val="30"/>
          <w:lang w:val="en-US" w:bidi="ar"/>
        </w:rPr>
        <w:t>300</w:t>
      </w:r>
      <w:r>
        <w:rPr>
          <w:rFonts w:ascii="Times New Roman" w:hAnsi="Times New Roman" w:cs="Times New Roman"/>
          <w:kern w:val="2"/>
          <w:sz w:val="30"/>
          <w:szCs w:val="30"/>
          <w:lang w:val="en-US" w:bidi="ar"/>
        </w:rPr>
        <w:t>m</w:t>
      </w:r>
      <w:r>
        <w:rPr>
          <w:rFonts w:hint="eastAsia"/>
          <w:kern w:val="2"/>
          <w:sz w:val="30"/>
          <w:szCs w:val="30"/>
          <w:lang w:val="en-US" w:bidi="ar"/>
        </w:rPr>
        <w:t>，据储量核实报告资料，该断层下盘岩层倾角平缓，裂隙不发育，上盘岩层倾角较大，裂隙较发育，且多为封闭性裂隙，断层导水性差。</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矿区北部的</w:t>
      </w:r>
      <w:r>
        <w:rPr>
          <w:rFonts w:hint="eastAsia" w:ascii="Times New Roman" w:hAnsi="Times New Roman"/>
          <w:kern w:val="2"/>
          <w:sz w:val="30"/>
          <w:szCs w:val="30"/>
          <w:lang w:val="en-US" w:bidi="ar"/>
        </w:rPr>
        <w:t>F</w:t>
      </w:r>
      <w:r>
        <w:rPr>
          <w:rFonts w:hint="eastAsia" w:ascii="Times New Roman" w:hAnsi="Times New Roman"/>
          <w:kern w:val="2"/>
          <w:sz w:val="30"/>
          <w:szCs w:val="30"/>
          <w:vertAlign w:val="subscript"/>
          <w:lang w:val="en-US" w:bidi="ar"/>
        </w:rPr>
        <w:t>10</w:t>
      </w:r>
      <w:r>
        <w:rPr>
          <w:rFonts w:hint="eastAsia"/>
          <w:kern w:val="2"/>
          <w:sz w:val="30"/>
          <w:szCs w:val="30"/>
          <w:lang w:val="en-US" w:bidi="ar"/>
        </w:rPr>
        <w:t>和</w:t>
      </w:r>
      <w:r>
        <w:rPr>
          <w:rFonts w:hint="eastAsia" w:ascii="Times New Roman" w:hAnsi="Times New Roman"/>
          <w:kern w:val="2"/>
          <w:sz w:val="30"/>
          <w:szCs w:val="30"/>
          <w:lang w:val="en-US" w:bidi="ar"/>
        </w:rPr>
        <w:t>F</w:t>
      </w:r>
      <w:r>
        <w:rPr>
          <w:rFonts w:hint="eastAsia" w:ascii="Times New Roman" w:hAnsi="Times New Roman"/>
          <w:kern w:val="2"/>
          <w:sz w:val="30"/>
          <w:szCs w:val="30"/>
          <w:vertAlign w:val="subscript"/>
          <w:lang w:val="en-US" w:bidi="ar"/>
        </w:rPr>
        <w:t>19</w:t>
      </w:r>
      <w:r>
        <w:rPr>
          <w:rFonts w:hint="eastAsia"/>
          <w:kern w:val="2"/>
          <w:sz w:val="30"/>
          <w:szCs w:val="30"/>
          <w:lang w:val="en-US" w:bidi="ar"/>
        </w:rPr>
        <w:t>正断层的导水性比其它断层导水要强，因白云乌素沟在两条断层上通过，有第四系潜水补给，利用渗入系数法计算得历年来最大日补给量：</w:t>
      </w:r>
      <w:r>
        <w:rPr>
          <w:rFonts w:hint="eastAsia" w:ascii="Times New Roman" w:hAnsi="Times New Roman"/>
          <w:kern w:val="2"/>
          <w:sz w:val="30"/>
          <w:szCs w:val="30"/>
          <w:lang w:val="en-US" w:bidi="ar"/>
        </w:rPr>
        <w:t>F</w:t>
      </w:r>
      <w:r>
        <w:rPr>
          <w:rFonts w:hint="eastAsia" w:ascii="Times New Roman" w:hAnsi="Times New Roman"/>
          <w:kern w:val="2"/>
          <w:sz w:val="30"/>
          <w:szCs w:val="30"/>
          <w:vertAlign w:val="subscript"/>
          <w:lang w:val="en-US" w:bidi="ar"/>
        </w:rPr>
        <w:t>19</w:t>
      </w:r>
      <w:r>
        <w:rPr>
          <w:rFonts w:hint="eastAsia"/>
          <w:kern w:val="2"/>
          <w:sz w:val="30"/>
          <w:szCs w:val="30"/>
          <w:lang w:val="en-US" w:bidi="ar"/>
        </w:rPr>
        <w:t>断层为</w:t>
      </w:r>
      <w:r>
        <w:rPr>
          <w:rFonts w:ascii="Times New Roman" w:hAnsi="Times New Roman" w:cs="Times New Roman"/>
          <w:kern w:val="2"/>
          <w:sz w:val="30"/>
          <w:szCs w:val="30"/>
          <w:lang w:val="en-US" w:bidi="ar"/>
        </w:rPr>
        <w:t>112.5m</w:t>
      </w:r>
      <w:r>
        <w:rPr>
          <w:rFonts w:ascii="Times New Roman" w:hAnsi="Times New Roman" w:cs="Times New Roman"/>
          <w:kern w:val="2"/>
          <w:sz w:val="30"/>
          <w:szCs w:val="30"/>
          <w:vertAlign w:val="superscript"/>
          <w:lang w:val="en-US" w:bidi="ar"/>
        </w:rPr>
        <w:t>3</w:t>
      </w:r>
      <w:r>
        <w:rPr>
          <w:rFonts w:ascii="Times New Roman" w:hAnsi="Times New Roman" w:cs="Times New Roman"/>
          <w:kern w:val="2"/>
          <w:sz w:val="30"/>
          <w:szCs w:val="30"/>
          <w:lang w:val="en-US" w:bidi="ar"/>
        </w:rPr>
        <w:t>/d</w:t>
      </w:r>
      <w:r>
        <w:rPr>
          <w:rFonts w:hint="eastAsia"/>
          <w:kern w:val="2"/>
          <w:sz w:val="30"/>
          <w:szCs w:val="30"/>
          <w:lang w:val="en-US" w:bidi="ar"/>
        </w:rPr>
        <w:t>，</w:t>
      </w:r>
      <w:r>
        <w:rPr>
          <w:rFonts w:hint="eastAsia" w:ascii="Times New Roman" w:hAnsi="Times New Roman"/>
          <w:kern w:val="2"/>
          <w:sz w:val="30"/>
          <w:szCs w:val="30"/>
          <w:lang w:val="en-US" w:bidi="ar"/>
        </w:rPr>
        <w:t>F</w:t>
      </w:r>
      <w:r>
        <w:rPr>
          <w:rFonts w:hint="eastAsia" w:ascii="Times New Roman" w:hAnsi="Times New Roman"/>
          <w:kern w:val="2"/>
          <w:sz w:val="30"/>
          <w:szCs w:val="30"/>
          <w:vertAlign w:val="subscript"/>
          <w:lang w:val="en-US" w:bidi="ar"/>
        </w:rPr>
        <w:t>10</w:t>
      </w:r>
      <w:r>
        <w:rPr>
          <w:rFonts w:hint="eastAsia"/>
          <w:kern w:val="2"/>
          <w:sz w:val="30"/>
          <w:szCs w:val="30"/>
          <w:lang w:val="en-US" w:bidi="ar"/>
        </w:rPr>
        <w:t>断层为</w:t>
      </w:r>
      <w:r>
        <w:rPr>
          <w:rFonts w:ascii="Times New Roman" w:hAnsi="Times New Roman" w:cs="Times New Roman"/>
          <w:kern w:val="2"/>
          <w:sz w:val="30"/>
          <w:szCs w:val="30"/>
          <w:lang w:val="en-US" w:bidi="ar"/>
        </w:rPr>
        <w:t>309m</w:t>
      </w:r>
      <w:r>
        <w:rPr>
          <w:rFonts w:ascii="Times New Roman" w:hAnsi="Times New Roman" w:cs="Times New Roman"/>
          <w:kern w:val="2"/>
          <w:sz w:val="30"/>
          <w:szCs w:val="30"/>
          <w:vertAlign w:val="superscript"/>
          <w:lang w:val="en-US" w:bidi="ar"/>
        </w:rPr>
        <w:t>3</w:t>
      </w:r>
      <w:r>
        <w:rPr>
          <w:rFonts w:ascii="Times New Roman" w:hAnsi="Times New Roman" w:cs="Times New Roman"/>
          <w:kern w:val="2"/>
          <w:sz w:val="30"/>
          <w:szCs w:val="30"/>
          <w:lang w:val="en-US" w:bidi="ar"/>
        </w:rPr>
        <w:t>/d</w:t>
      </w:r>
      <w:r>
        <w:rPr>
          <w:rFonts w:hint="eastAsia"/>
          <w:kern w:val="2"/>
          <w:sz w:val="30"/>
          <w:szCs w:val="30"/>
          <w:lang w:val="en-US" w:bidi="ar"/>
        </w:rPr>
        <w:t>，间歇性沟谷在洪水期间对断层的补给量较大，补给时间又很集中，未来煤矿在断层附近开采时，在洪水期应提高警惕，预防断层突然涌水成灾。</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本区逆断层、正断层较发育。逆断层近南北向延伸，裂隙发育不均匀，上盘裂隙比下盘发育；正断层一般呈东西向延伸，张性裂隙发育。由于断造中等，直接、间接充水含水层的含水空间以裂隙为主，直接充水含水带的单位涌水量一般小于</w:t>
      </w:r>
      <w:r>
        <w:rPr>
          <w:rFonts w:ascii="Times New Roman" w:hAnsi="Times New Roman" w:cs="Times New Roman"/>
          <w:kern w:val="2"/>
          <w:sz w:val="30"/>
          <w:szCs w:val="30"/>
          <w:lang w:val="en-US" w:bidi="ar"/>
        </w:rPr>
        <w:t>0.1</w:t>
      </w:r>
      <w:r>
        <w:rPr>
          <w:rFonts w:ascii="华文行楷" w:hAnsi="Times New Roman" w:eastAsia="华文行楷" w:cs="华文行楷"/>
          <w:kern w:val="2"/>
          <w:sz w:val="30"/>
          <w:szCs w:val="30"/>
          <w:lang w:val="en-US" w:bidi="ar"/>
        </w:rPr>
        <w:t xml:space="preserve"> </w:t>
      </w:r>
      <w:r>
        <w:rPr>
          <w:rFonts w:ascii="华文行楷" w:hAnsi="Times New Roman" w:eastAsia="华文行楷" w:cs="华文行楷"/>
          <w:spacing w:val="-4"/>
          <w:kern w:val="2"/>
          <w:sz w:val="30"/>
          <w:szCs w:val="30"/>
          <w:lang w:val="en-US" w:bidi="ar"/>
        </w:rPr>
        <w:t>L</w:t>
      </w:r>
      <w:r>
        <w:rPr>
          <w:rFonts w:ascii="Times New Roman" w:hAnsi="Times New Roman" w:cs="Times New Roman"/>
          <w:kern w:val="2"/>
          <w:sz w:val="30"/>
          <w:szCs w:val="30"/>
          <w:lang w:val="en-US" w:bidi="ar"/>
        </w:rPr>
        <w:t xml:space="preserve"> /s·m</w:t>
      </w:r>
      <w:r>
        <w:rPr>
          <w:rFonts w:hint="eastAsia"/>
          <w:kern w:val="2"/>
          <w:sz w:val="30"/>
          <w:szCs w:val="30"/>
          <w:lang w:val="en-US" w:bidi="ar"/>
        </w:rPr>
        <w:t>，富水性弱～中等；无常年地表径流，且以贫乏的大气降水为主要补给源。据此将矿区水文地质类型划分为第二类第一～二型，即裂隙充水矿床，水文地质条件简单～中等型。但开采时顶板陷落导致裂隙的发育，降水可沿裂隙补给井下，造成涌水量增加。</w:t>
      </w:r>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jc w:val="both"/>
        <w:textAlignment w:val="auto"/>
        <w:rPr>
          <w:sz w:val="30"/>
          <w:szCs w:val="30"/>
        </w:rPr>
      </w:pPr>
      <w:r>
        <w:rPr>
          <w:rFonts w:hint="eastAsia"/>
          <w:sz w:val="30"/>
          <w:szCs w:val="30"/>
        </w:rPr>
        <w:t>四、工程地质条件</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1、岩土体类型</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根据评估区地层的岩性、岩石物理力学性质、岩土体结构及工程地质特征将岩土体划分为坚硬岩、软弱-半坚硬岩、砂砾土三种类型。</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（1）坚硬岩</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主要由奥陶系中统厚层状石灰岩组成。</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（2）软弱-半坚硬岩</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由石炭系上统、二叠系下统、二叠系上统砂岩、砂质泥岩、泥岩和煤层等组成。</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（3）砂砾土</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由第四系全新统风积砂及坡积物组成。</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2、岩土体工程地质特征</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（1）坚硬岩</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岩性为奥陶系中统厚层状石灰岩，抗压强度＞60MPa，工程地质条件良好。</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（2）软弱-半坚硬岩</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主要分布于矿区南部、东部及东北部。岩性为石英砂岩、砂质泥岩、细砂岩。经对煤层顶、底板岩层力学性质试验，其抗压强度15.7-70.3Mpa，工程地质条件良好。</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3.砂土</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rFonts w:hint="eastAsia"/>
          <w:kern w:val="2"/>
          <w:sz w:val="30"/>
          <w:szCs w:val="30"/>
          <w:lang w:val="en-US" w:bidi="ar"/>
        </w:rPr>
      </w:pPr>
      <w:r>
        <w:rPr>
          <w:rFonts w:hint="eastAsia"/>
          <w:kern w:val="2"/>
          <w:sz w:val="30"/>
          <w:szCs w:val="30"/>
          <w:lang w:val="en-US" w:bidi="ar"/>
        </w:rPr>
        <w:t>分布于矿区大部地区，岩性为第四系风积砂及坡积物，厚度1-6.72m，平均2.95m。松散—稍密，地基承载力特征值为160-200KPa，工程地质条件一般。</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sz w:val="30"/>
          <w:szCs w:val="30"/>
          <w:lang w:val="en-US" w:bidi="ar"/>
        </w:rPr>
        <w:t>五、</w:t>
      </w:r>
      <w:r>
        <w:rPr>
          <w:rFonts w:hint="eastAsia"/>
          <w:b/>
          <w:kern w:val="2"/>
          <w:sz w:val="30"/>
          <w:szCs w:val="30"/>
          <w:lang w:val="en-US" w:bidi="ar"/>
        </w:rPr>
        <w:t>矿产资源储量及矿体分布特征</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（一）矿产资源储量</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根据该矿《储量核实报告》，该矿保有资源储量为2828万吨，其中控制的经济基础储量（122b）1663万吨，333级储量672万吨。</w:t>
      </w:r>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jc w:val="both"/>
        <w:textAlignment w:val="auto"/>
        <w:rPr>
          <w:kern w:val="2"/>
          <w:sz w:val="30"/>
          <w:szCs w:val="30"/>
        </w:rPr>
      </w:pPr>
      <w:r>
        <w:rPr>
          <w:rFonts w:hint="eastAsia"/>
          <w:kern w:val="2"/>
          <w:sz w:val="30"/>
          <w:szCs w:val="30"/>
        </w:rPr>
        <w:t>（二）矿体分布特征</w:t>
      </w:r>
      <w:r>
        <w:rPr>
          <w:rFonts w:hint="eastAsia"/>
          <w:kern w:val="2"/>
          <w:sz w:val="30"/>
          <w:szCs w:val="30"/>
        </w:rPr>
        <w:tab/>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矿区主要可采煤层为8-1、9-2、9-3、16-1、16-2、17号煤层共六层。现就各可采煤层赋存情况自上而下分述如下：</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8-1</w:t>
      </w:r>
      <w:r>
        <w:rPr>
          <w:rFonts w:hint="eastAsia"/>
          <w:kern w:val="2"/>
          <w:sz w:val="30"/>
          <w:szCs w:val="30"/>
          <w:lang w:val="en-US" w:bidi="ar"/>
        </w:rPr>
        <w:t>煤层  位于二叠系下统山西组第一岩段（</w:t>
      </w:r>
      <w:r>
        <w:rPr>
          <w:rFonts w:ascii="Times New Roman" w:hAnsi="Times New Roman" w:cs="Times New Roman"/>
          <w:kern w:val="2"/>
          <w:sz w:val="30"/>
          <w:szCs w:val="30"/>
          <w:lang w:val="en-US" w:bidi="ar"/>
        </w:rPr>
        <w:t>P 11S</w:t>
      </w:r>
      <w:r>
        <w:rPr>
          <w:rFonts w:hint="eastAsia"/>
          <w:kern w:val="2"/>
          <w:sz w:val="30"/>
          <w:szCs w:val="30"/>
          <w:lang w:val="en-US" w:bidi="ar"/>
        </w:rPr>
        <w:t>）中部，煤层全区发育且可采，结构较简单，一般不含夹矸或含</w:t>
      </w:r>
      <w:r>
        <w:rPr>
          <w:rFonts w:hint="eastAsia" w:ascii="Times New Roman" w:hAnsi="Times New Roman"/>
          <w:kern w:val="2"/>
          <w:sz w:val="30"/>
          <w:szCs w:val="30"/>
          <w:lang w:val="en-US" w:bidi="ar"/>
        </w:rPr>
        <w:t>1</w:t>
      </w:r>
      <w:r>
        <w:rPr>
          <w:rFonts w:hint="eastAsia"/>
          <w:kern w:val="2"/>
          <w:sz w:val="30"/>
          <w:szCs w:val="30"/>
          <w:lang w:val="en-US" w:bidi="ar"/>
        </w:rPr>
        <w:t>层夹矸，煤层厚度</w:t>
      </w:r>
      <w:r>
        <w:rPr>
          <w:rFonts w:ascii="Times New Roman" w:hAnsi="Times New Roman" w:cs="Times New Roman"/>
          <w:kern w:val="2"/>
          <w:sz w:val="30"/>
          <w:szCs w:val="30"/>
          <w:lang w:val="en-US" w:bidi="ar"/>
        </w:rPr>
        <w:t>0.56</w:t>
      </w:r>
      <w:r>
        <w:rPr>
          <w:rFonts w:hint="eastAsia"/>
          <w:kern w:val="2"/>
          <w:sz w:val="30"/>
          <w:szCs w:val="30"/>
          <w:lang w:val="en-US" w:bidi="ar"/>
        </w:rPr>
        <w:t>～</w:t>
      </w:r>
      <w:r>
        <w:rPr>
          <w:rFonts w:ascii="Times New Roman" w:hAnsi="Times New Roman" w:cs="Times New Roman"/>
          <w:kern w:val="2"/>
          <w:sz w:val="30"/>
          <w:szCs w:val="30"/>
          <w:lang w:val="en-US" w:bidi="ar"/>
        </w:rPr>
        <w:t>2.78m</w:t>
      </w:r>
      <w:r>
        <w:rPr>
          <w:rFonts w:hint="eastAsia"/>
          <w:kern w:val="2"/>
          <w:sz w:val="30"/>
          <w:szCs w:val="30"/>
          <w:lang w:val="en-US" w:bidi="ar"/>
        </w:rPr>
        <w:t>，平均</w:t>
      </w:r>
      <w:r>
        <w:rPr>
          <w:rFonts w:ascii="Times New Roman" w:hAnsi="Times New Roman" w:cs="Times New Roman"/>
          <w:kern w:val="2"/>
          <w:sz w:val="30"/>
          <w:szCs w:val="30"/>
          <w:lang w:val="en-US" w:bidi="ar"/>
        </w:rPr>
        <w:t>1.28m</w:t>
      </w:r>
      <w:r>
        <w:rPr>
          <w:rFonts w:hint="eastAsia"/>
          <w:kern w:val="2"/>
          <w:sz w:val="30"/>
          <w:szCs w:val="30"/>
          <w:lang w:val="en-US" w:bidi="ar"/>
        </w:rPr>
        <w:t>，采用厚度</w:t>
      </w:r>
      <w:r>
        <w:rPr>
          <w:rFonts w:ascii="Times New Roman" w:hAnsi="Times New Roman" w:cs="Times New Roman"/>
          <w:kern w:val="2"/>
          <w:sz w:val="30"/>
          <w:szCs w:val="30"/>
          <w:lang w:val="en-US" w:bidi="ar"/>
        </w:rPr>
        <w:t>0.70</w:t>
      </w:r>
      <w:r>
        <w:rPr>
          <w:rFonts w:hint="eastAsia"/>
          <w:kern w:val="2"/>
          <w:sz w:val="30"/>
          <w:szCs w:val="30"/>
          <w:lang w:val="en-US" w:bidi="ar"/>
        </w:rPr>
        <w:t>～</w:t>
      </w:r>
      <w:r>
        <w:rPr>
          <w:rFonts w:ascii="Times New Roman" w:hAnsi="Times New Roman" w:cs="Times New Roman"/>
          <w:kern w:val="2"/>
          <w:sz w:val="30"/>
          <w:szCs w:val="30"/>
          <w:lang w:val="en-US" w:bidi="ar"/>
        </w:rPr>
        <w:t>2.54m</w:t>
      </w:r>
      <w:r>
        <w:rPr>
          <w:rFonts w:hint="eastAsia"/>
          <w:kern w:val="2"/>
          <w:sz w:val="30"/>
          <w:szCs w:val="30"/>
          <w:lang w:val="en-US" w:bidi="ar"/>
        </w:rPr>
        <w:t>，平均</w:t>
      </w:r>
      <w:r>
        <w:rPr>
          <w:rFonts w:ascii="Times New Roman" w:hAnsi="Times New Roman" w:cs="Times New Roman"/>
          <w:kern w:val="2"/>
          <w:sz w:val="30"/>
          <w:szCs w:val="30"/>
          <w:lang w:val="en-US" w:bidi="ar"/>
        </w:rPr>
        <w:t>2.00m</w:t>
      </w:r>
      <w:r>
        <w:rPr>
          <w:rFonts w:hint="eastAsia"/>
          <w:kern w:val="2"/>
          <w:sz w:val="30"/>
          <w:szCs w:val="30"/>
          <w:lang w:val="en-US" w:bidi="ar"/>
        </w:rPr>
        <w:t>，厚度变化不大，且由西向东有逐渐变薄之趋势，属较稳定煤层。顶板岩性多为灰白色细、粉砂岩，底板岩性为灰褐色粘土岩及灰黑色砂质泥岩。距下部</w:t>
      </w:r>
      <w:r>
        <w:rPr>
          <w:rFonts w:hint="eastAsia" w:ascii="Times New Roman" w:hAnsi="Times New Roman"/>
          <w:kern w:val="2"/>
          <w:sz w:val="30"/>
          <w:szCs w:val="30"/>
          <w:lang w:val="en-US" w:bidi="ar"/>
        </w:rPr>
        <w:t>9-2</w:t>
      </w:r>
      <w:r>
        <w:rPr>
          <w:rFonts w:hint="eastAsia"/>
          <w:kern w:val="2"/>
          <w:sz w:val="30"/>
          <w:szCs w:val="30"/>
          <w:lang w:val="en-US" w:bidi="ar"/>
        </w:rPr>
        <w:t>煤层</w:t>
      </w:r>
      <w:r>
        <w:rPr>
          <w:rFonts w:ascii="Times New Roman" w:hAnsi="Times New Roman" w:cs="Times New Roman"/>
          <w:kern w:val="2"/>
          <w:sz w:val="30"/>
          <w:szCs w:val="30"/>
          <w:lang w:val="en-US" w:bidi="ar"/>
        </w:rPr>
        <w:t>3.57</w:t>
      </w:r>
      <w:r>
        <w:rPr>
          <w:rFonts w:hint="eastAsia"/>
          <w:kern w:val="2"/>
          <w:sz w:val="30"/>
          <w:szCs w:val="30"/>
          <w:lang w:val="en-US" w:bidi="ar"/>
        </w:rPr>
        <w:t>～</w:t>
      </w:r>
      <w:r>
        <w:rPr>
          <w:rFonts w:ascii="Times New Roman" w:hAnsi="Times New Roman" w:cs="Times New Roman"/>
          <w:kern w:val="2"/>
          <w:sz w:val="30"/>
          <w:szCs w:val="30"/>
          <w:lang w:val="en-US" w:bidi="ar"/>
        </w:rPr>
        <w:t>8.06m</w:t>
      </w:r>
      <w:r>
        <w:rPr>
          <w:rFonts w:hint="eastAsia"/>
          <w:kern w:val="2"/>
          <w:sz w:val="30"/>
          <w:szCs w:val="30"/>
          <w:lang w:val="en-US" w:bidi="ar"/>
        </w:rPr>
        <w:t>，平均间距</w:t>
      </w:r>
      <w:r>
        <w:rPr>
          <w:rFonts w:ascii="Times New Roman" w:hAnsi="Times New Roman" w:cs="Times New Roman"/>
          <w:kern w:val="2"/>
          <w:sz w:val="30"/>
          <w:szCs w:val="30"/>
          <w:lang w:val="en-US" w:bidi="ar"/>
        </w:rPr>
        <w:t>4.87m</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9-2</w:t>
      </w:r>
      <w:r>
        <w:rPr>
          <w:rFonts w:hint="eastAsia"/>
          <w:kern w:val="2"/>
          <w:sz w:val="30"/>
          <w:szCs w:val="30"/>
          <w:lang w:val="en-US" w:bidi="ar"/>
        </w:rPr>
        <w:t>煤层  位于山西组第一岩段中部，全区发育且大部可采，结构复杂，矿区中部煤层含夹矸</w:t>
      </w:r>
      <w:r>
        <w:rPr>
          <w:rFonts w:ascii="Times New Roman" w:hAnsi="Times New Roman" w:cs="Times New Roman"/>
          <w:kern w:val="2"/>
          <w:sz w:val="30"/>
          <w:szCs w:val="30"/>
          <w:lang w:val="en-US" w:bidi="ar"/>
        </w:rPr>
        <w:t>0</w:t>
      </w:r>
      <w:r>
        <w:rPr>
          <w:rFonts w:hint="eastAsia"/>
          <w:kern w:val="2"/>
          <w:sz w:val="30"/>
          <w:szCs w:val="30"/>
          <w:lang w:val="en-US" w:bidi="ar"/>
        </w:rPr>
        <w:t>～</w:t>
      </w:r>
      <w:r>
        <w:rPr>
          <w:rFonts w:ascii="Times New Roman" w:hAnsi="Times New Roman" w:cs="Times New Roman"/>
          <w:kern w:val="2"/>
          <w:sz w:val="30"/>
          <w:szCs w:val="30"/>
          <w:lang w:val="en-US" w:bidi="ar"/>
        </w:rPr>
        <w:t>6</w:t>
      </w:r>
      <w:r>
        <w:rPr>
          <w:rFonts w:hint="eastAsia"/>
          <w:kern w:val="2"/>
          <w:sz w:val="30"/>
          <w:szCs w:val="30"/>
          <w:lang w:val="en-US" w:bidi="ar"/>
        </w:rPr>
        <w:t>层，其余地段结构简单，煤层厚度</w:t>
      </w:r>
      <w:r>
        <w:rPr>
          <w:rFonts w:ascii="Times New Roman" w:hAnsi="Times New Roman" w:cs="Times New Roman"/>
          <w:kern w:val="2"/>
          <w:sz w:val="30"/>
          <w:szCs w:val="30"/>
          <w:lang w:val="en-US" w:bidi="ar"/>
        </w:rPr>
        <w:t>0.96</w:t>
      </w:r>
      <w:r>
        <w:rPr>
          <w:rFonts w:hint="eastAsia"/>
          <w:kern w:val="2"/>
          <w:sz w:val="30"/>
          <w:szCs w:val="30"/>
          <w:lang w:val="en-US" w:bidi="ar"/>
        </w:rPr>
        <w:t>～</w:t>
      </w:r>
      <w:r>
        <w:rPr>
          <w:rFonts w:hint="eastAsia" w:ascii="Times New Roman" w:hAnsi="Times New Roman"/>
          <w:kern w:val="2"/>
          <w:sz w:val="30"/>
          <w:szCs w:val="30"/>
          <w:lang w:val="en-US" w:bidi="ar"/>
        </w:rPr>
        <w:t>3</w:t>
      </w:r>
      <w:r>
        <w:rPr>
          <w:rFonts w:ascii="Times New Roman" w:hAnsi="Times New Roman" w:cs="Times New Roman"/>
          <w:kern w:val="2"/>
          <w:sz w:val="30"/>
          <w:szCs w:val="30"/>
          <w:lang w:val="en-US" w:bidi="ar"/>
        </w:rPr>
        <w:t>.40m</w:t>
      </w:r>
      <w:r>
        <w:rPr>
          <w:rFonts w:hint="eastAsia"/>
          <w:kern w:val="2"/>
          <w:sz w:val="30"/>
          <w:szCs w:val="30"/>
          <w:lang w:val="en-US" w:bidi="ar"/>
        </w:rPr>
        <w:t>，平均</w:t>
      </w:r>
      <w:r>
        <w:rPr>
          <w:rFonts w:ascii="Times New Roman" w:hAnsi="Times New Roman" w:cs="Times New Roman"/>
          <w:kern w:val="2"/>
          <w:sz w:val="30"/>
          <w:szCs w:val="30"/>
          <w:lang w:val="en-US" w:bidi="ar"/>
        </w:rPr>
        <w:t>1.85m</w:t>
      </w:r>
      <w:r>
        <w:rPr>
          <w:rFonts w:hint="eastAsia"/>
          <w:kern w:val="2"/>
          <w:sz w:val="30"/>
          <w:szCs w:val="30"/>
          <w:lang w:val="en-US" w:bidi="ar"/>
        </w:rPr>
        <w:t>；采用厚度</w:t>
      </w:r>
      <w:r>
        <w:rPr>
          <w:rFonts w:ascii="Times New Roman" w:hAnsi="Times New Roman" w:cs="Times New Roman"/>
          <w:kern w:val="2"/>
          <w:sz w:val="30"/>
          <w:szCs w:val="30"/>
          <w:lang w:val="en-US" w:bidi="ar"/>
        </w:rPr>
        <w:t>0.96</w:t>
      </w:r>
      <w:r>
        <w:rPr>
          <w:rFonts w:hint="eastAsia"/>
          <w:kern w:val="2"/>
          <w:sz w:val="30"/>
          <w:szCs w:val="30"/>
          <w:lang w:val="en-US" w:bidi="ar"/>
        </w:rPr>
        <w:t>～</w:t>
      </w:r>
      <w:r>
        <w:rPr>
          <w:rFonts w:ascii="Times New Roman" w:hAnsi="Times New Roman" w:cs="Times New Roman"/>
          <w:kern w:val="2"/>
          <w:sz w:val="30"/>
          <w:szCs w:val="30"/>
          <w:lang w:val="en-US" w:bidi="ar"/>
        </w:rPr>
        <w:t>3.40m</w:t>
      </w:r>
      <w:r>
        <w:rPr>
          <w:rFonts w:hint="eastAsia"/>
          <w:kern w:val="2"/>
          <w:sz w:val="30"/>
          <w:szCs w:val="30"/>
          <w:lang w:val="en-US" w:bidi="ar"/>
        </w:rPr>
        <w:t>，平均</w:t>
      </w:r>
      <w:r>
        <w:rPr>
          <w:rFonts w:ascii="Times New Roman" w:hAnsi="Times New Roman" w:cs="Times New Roman"/>
          <w:kern w:val="2"/>
          <w:sz w:val="30"/>
          <w:szCs w:val="30"/>
          <w:lang w:val="en-US" w:bidi="ar"/>
        </w:rPr>
        <w:t>1.67m</w:t>
      </w:r>
      <w:r>
        <w:rPr>
          <w:rFonts w:hint="eastAsia"/>
          <w:kern w:val="2"/>
          <w:sz w:val="30"/>
          <w:szCs w:val="30"/>
          <w:lang w:val="en-US" w:bidi="ar"/>
        </w:rPr>
        <w:t>，厚度较稳定，总体由西向东有增厚之势，属较稳定煤层，顶板岩性为黑褐色粘土岩夹薄层炭质泥岩，底板为灰黑色泥岩或粘土岩，距下部</w:t>
      </w:r>
      <w:r>
        <w:rPr>
          <w:rFonts w:hint="eastAsia" w:ascii="Times New Roman" w:hAnsi="Times New Roman"/>
          <w:kern w:val="2"/>
          <w:sz w:val="30"/>
          <w:szCs w:val="30"/>
          <w:lang w:val="en-US" w:bidi="ar"/>
        </w:rPr>
        <w:t>9-3</w:t>
      </w:r>
      <w:r>
        <w:rPr>
          <w:rFonts w:hint="eastAsia"/>
          <w:kern w:val="2"/>
          <w:sz w:val="30"/>
          <w:szCs w:val="30"/>
          <w:lang w:val="en-US" w:bidi="ar"/>
        </w:rPr>
        <w:t>煤层</w:t>
      </w:r>
      <w:r>
        <w:rPr>
          <w:rFonts w:ascii="Times New Roman" w:hAnsi="Times New Roman" w:cs="Times New Roman"/>
          <w:kern w:val="2"/>
          <w:sz w:val="30"/>
          <w:szCs w:val="30"/>
          <w:lang w:val="en-US" w:bidi="ar"/>
        </w:rPr>
        <w:t>0.05</w:t>
      </w:r>
      <w:r>
        <w:rPr>
          <w:rFonts w:hint="eastAsia"/>
          <w:kern w:val="2"/>
          <w:sz w:val="30"/>
          <w:szCs w:val="30"/>
          <w:lang w:val="en-US" w:bidi="ar"/>
        </w:rPr>
        <w:t>～</w:t>
      </w:r>
      <w:r>
        <w:rPr>
          <w:rFonts w:ascii="Times New Roman" w:hAnsi="Times New Roman" w:cs="Times New Roman"/>
          <w:kern w:val="2"/>
          <w:sz w:val="30"/>
          <w:szCs w:val="30"/>
          <w:lang w:val="en-US" w:bidi="ar"/>
        </w:rPr>
        <w:t>1.74m</w:t>
      </w:r>
      <w:r>
        <w:rPr>
          <w:rFonts w:hint="eastAsia"/>
          <w:kern w:val="2"/>
          <w:sz w:val="30"/>
          <w:szCs w:val="30"/>
          <w:lang w:val="en-US" w:bidi="ar"/>
        </w:rPr>
        <w:t>，平均间距</w:t>
      </w:r>
      <w:r>
        <w:rPr>
          <w:rFonts w:ascii="Times New Roman" w:hAnsi="Times New Roman" w:cs="Times New Roman"/>
          <w:kern w:val="2"/>
          <w:sz w:val="30"/>
          <w:szCs w:val="30"/>
          <w:lang w:val="en-US" w:bidi="ar"/>
        </w:rPr>
        <w:t>0.86m</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9-3</w:t>
      </w:r>
      <w:r>
        <w:rPr>
          <w:rFonts w:hint="eastAsia"/>
          <w:kern w:val="2"/>
          <w:sz w:val="30"/>
          <w:szCs w:val="30"/>
          <w:lang w:val="en-US" w:bidi="ar"/>
        </w:rPr>
        <w:t>煤层  位于</w:t>
      </w:r>
      <w:r>
        <w:rPr>
          <w:rFonts w:ascii="Times New Roman" w:hAnsi="Times New Roman" w:cs="Times New Roman"/>
          <w:kern w:val="2"/>
          <w:sz w:val="30"/>
          <w:szCs w:val="30"/>
          <w:lang w:val="en-US" w:bidi="ar"/>
        </w:rPr>
        <w:t>9-2</w:t>
      </w:r>
      <w:r>
        <w:rPr>
          <w:rFonts w:hint="eastAsia"/>
          <w:kern w:val="2"/>
          <w:sz w:val="30"/>
          <w:szCs w:val="30"/>
          <w:lang w:val="en-US" w:bidi="ar"/>
        </w:rPr>
        <w:t>煤层下部，基本全区可采，仅东南部有一零星不可采区，煤层厚度</w:t>
      </w:r>
      <w:r>
        <w:rPr>
          <w:rFonts w:ascii="Times New Roman" w:hAnsi="Times New Roman" w:cs="Times New Roman"/>
          <w:kern w:val="2"/>
          <w:sz w:val="30"/>
          <w:szCs w:val="30"/>
          <w:lang w:val="en-US" w:bidi="ar"/>
        </w:rPr>
        <w:t>0.04</w:t>
      </w:r>
      <w:r>
        <w:rPr>
          <w:rFonts w:hint="eastAsia"/>
          <w:kern w:val="2"/>
          <w:sz w:val="30"/>
          <w:szCs w:val="30"/>
          <w:lang w:val="en-US" w:bidi="ar"/>
        </w:rPr>
        <w:t>～</w:t>
      </w:r>
      <w:r>
        <w:rPr>
          <w:rFonts w:ascii="Times New Roman" w:hAnsi="Times New Roman" w:cs="Times New Roman"/>
          <w:kern w:val="2"/>
          <w:sz w:val="30"/>
          <w:szCs w:val="30"/>
          <w:lang w:val="en-US" w:bidi="ar"/>
        </w:rPr>
        <w:t>1.65m</w:t>
      </w:r>
      <w:r>
        <w:rPr>
          <w:rFonts w:hint="eastAsia"/>
          <w:kern w:val="2"/>
          <w:sz w:val="30"/>
          <w:szCs w:val="30"/>
          <w:lang w:val="en-US" w:bidi="ar"/>
        </w:rPr>
        <w:t>，平均</w:t>
      </w:r>
      <w:r>
        <w:rPr>
          <w:rFonts w:ascii="Times New Roman" w:hAnsi="Times New Roman" w:cs="Times New Roman"/>
          <w:kern w:val="2"/>
          <w:sz w:val="30"/>
          <w:szCs w:val="30"/>
          <w:lang w:val="en-US" w:bidi="ar"/>
        </w:rPr>
        <w:t>0.93m</w:t>
      </w:r>
      <w:r>
        <w:rPr>
          <w:rFonts w:hint="eastAsia"/>
          <w:kern w:val="2"/>
          <w:sz w:val="30"/>
          <w:szCs w:val="30"/>
          <w:lang w:val="en-US" w:bidi="ar"/>
        </w:rPr>
        <w:t>，结构简单，含</w:t>
      </w:r>
      <w:r>
        <w:rPr>
          <w:rFonts w:hint="eastAsia" w:ascii="Times New Roman" w:hAnsi="Times New Roman"/>
          <w:kern w:val="2"/>
          <w:sz w:val="30"/>
          <w:szCs w:val="30"/>
          <w:lang w:val="en-US" w:bidi="ar"/>
        </w:rPr>
        <w:t>0</w:t>
      </w:r>
      <w:r>
        <w:rPr>
          <w:rFonts w:hint="eastAsia"/>
          <w:kern w:val="2"/>
          <w:sz w:val="30"/>
          <w:szCs w:val="30"/>
          <w:lang w:val="en-US" w:bidi="ar"/>
        </w:rPr>
        <w:t>～</w:t>
      </w:r>
      <w:r>
        <w:rPr>
          <w:rFonts w:ascii="Times New Roman" w:hAnsi="Times New Roman" w:cs="Times New Roman"/>
          <w:kern w:val="2"/>
          <w:sz w:val="30"/>
          <w:szCs w:val="30"/>
          <w:lang w:val="en-US" w:bidi="ar"/>
        </w:rPr>
        <w:t>1</w:t>
      </w:r>
      <w:r>
        <w:rPr>
          <w:rFonts w:hint="eastAsia"/>
          <w:kern w:val="2"/>
          <w:sz w:val="30"/>
          <w:szCs w:val="30"/>
          <w:lang w:val="en-US" w:bidi="ar"/>
        </w:rPr>
        <w:t>层夹矸，可采区内采用厚度</w:t>
      </w:r>
      <w:r>
        <w:rPr>
          <w:rFonts w:ascii="Times New Roman" w:hAnsi="Times New Roman" w:cs="Times New Roman"/>
          <w:kern w:val="2"/>
          <w:sz w:val="30"/>
          <w:szCs w:val="30"/>
          <w:lang w:val="en-US" w:bidi="ar"/>
        </w:rPr>
        <w:t>0.70</w:t>
      </w:r>
      <w:r>
        <w:rPr>
          <w:rFonts w:hint="eastAsia"/>
          <w:kern w:val="2"/>
          <w:sz w:val="30"/>
          <w:szCs w:val="30"/>
          <w:lang w:val="en-US" w:bidi="ar"/>
        </w:rPr>
        <w:t>～</w:t>
      </w:r>
      <w:r>
        <w:rPr>
          <w:rFonts w:ascii="Times New Roman" w:hAnsi="Times New Roman" w:cs="Times New Roman"/>
          <w:kern w:val="2"/>
          <w:sz w:val="30"/>
          <w:szCs w:val="30"/>
          <w:lang w:val="en-US" w:bidi="ar"/>
        </w:rPr>
        <w:t>1.65m</w:t>
      </w:r>
      <w:r>
        <w:rPr>
          <w:rFonts w:hint="eastAsia"/>
          <w:kern w:val="2"/>
          <w:sz w:val="30"/>
          <w:szCs w:val="30"/>
          <w:lang w:val="en-US" w:bidi="ar"/>
        </w:rPr>
        <w:t>，平均</w:t>
      </w:r>
      <w:r>
        <w:rPr>
          <w:rFonts w:ascii="Times New Roman" w:hAnsi="Times New Roman" w:cs="Times New Roman"/>
          <w:kern w:val="2"/>
          <w:sz w:val="30"/>
          <w:szCs w:val="30"/>
          <w:lang w:val="en-US" w:bidi="ar"/>
        </w:rPr>
        <w:t>1.01m</w:t>
      </w:r>
      <w:r>
        <w:rPr>
          <w:rFonts w:hint="eastAsia"/>
          <w:kern w:val="2"/>
          <w:sz w:val="30"/>
          <w:szCs w:val="30"/>
          <w:lang w:val="en-US" w:bidi="ar"/>
        </w:rPr>
        <w:t>，属较稳定煤层。顶板岩性为泥岩、底板岩性为砂质泥岩或细、粉砂岩。距下部</w:t>
      </w:r>
      <w:r>
        <w:rPr>
          <w:rFonts w:hint="eastAsia" w:ascii="Times New Roman" w:hAnsi="Times New Roman"/>
          <w:kern w:val="2"/>
          <w:sz w:val="30"/>
          <w:szCs w:val="30"/>
          <w:lang w:val="en-US" w:bidi="ar"/>
        </w:rPr>
        <w:t>10</w:t>
      </w:r>
      <w:r>
        <w:rPr>
          <w:rFonts w:hint="eastAsia"/>
          <w:kern w:val="2"/>
          <w:sz w:val="30"/>
          <w:szCs w:val="30"/>
          <w:lang w:val="en-US" w:bidi="ar"/>
        </w:rPr>
        <w:t>号煤层</w:t>
      </w:r>
      <w:r>
        <w:rPr>
          <w:rFonts w:ascii="Times New Roman" w:hAnsi="Times New Roman" w:cs="Times New Roman"/>
          <w:kern w:val="2"/>
          <w:sz w:val="30"/>
          <w:szCs w:val="30"/>
          <w:lang w:val="en-US" w:bidi="ar"/>
        </w:rPr>
        <w:t>2.70</w:t>
      </w:r>
      <w:r>
        <w:rPr>
          <w:rFonts w:hint="eastAsia"/>
          <w:kern w:val="2"/>
          <w:sz w:val="30"/>
          <w:szCs w:val="30"/>
          <w:lang w:val="en-US" w:bidi="ar"/>
        </w:rPr>
        <w:t>～</w:t>
      </w:r>
      <w:r>
        <w:rPr>
          <w:rFonts w:ascii="Times New Roman" w:hAnsi="Times New Roman" w:cs="Times New Roman"/>
          <w:kern w:val="2"/>
          <w:sz w:val="30"/>
          <w:szCs w:val="30"/>
          <w:lang w:val="en-US" w:bidi="ar"/>
        </w:rPr>
        <w:t>6.95m</w:t>
      </w:r>
      <w:r>
        <w:rPr>
          <w:rFonts w:hint="eastAsia"/>
          <w:kern w:val="2"/>
          <w:sz w:val="30"/>
          <w:szCs w:val="30"/>
          <w:lang w:val="en-US" w:bidi="ar"/>
        </w:rPr>
        <w:t>，平均间距</w:t>
      </w:r>
      <w:r>
        <w:rPr>
          <w:rFonts w:ascii="Times New Roman" w:hAnsi="Times New Roman" w:cs="Times New Roman"/>
          <w:kern w:val="2"/>
          <w:sz w:val="30"/>
          <w:szCs w:val="30"/>
          <w:lang w:val="en-US" w:bidi="ar"/>
        </w:rPr>
        <w:t>3.94m</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ascii="Times New Roman" w:hAnsi="Times New Roman" w:cs="Times New Roman"/>
          <w:kern w:val="2"/>
          <w:sz w:val="30"/>
          <w:szCs w:val="30"/>
          <w:lang w:val="en-US" w:bidi="ar"/>
        </w:rPr>
        <w:t>10</w:t>
      </w:r>
      <w:r>
        <w:rPr>
          <w:rFonts w:hint="eastAsia"/>
          <w:kern w:val="2"/>
          <w:sz w:val="30"/>
          <w:szCs w:val="30"/>
          <w:lang w:val="en-US" w:bidi="ar"/>
        </w:rPr>
        <w:t>号煤层</w:t>
      </w:r>
      <w:r>
        <w:rPr>
          <w:rFonts w:hint="eastAsia" w:ascii="Times New Roman" w:hAnsi="Times New Roman"/>
          <w:kern w:val="2"/>
          <w:sz w:val="30"/>
          <w:szCs w:val="30"/>
          <w:lang w:val="en-US" w:bidi="ar"/>
        </w:rPr>
        <w:t xml:space="preserve">  </w:t>
      </w:r>
      <w:r>
        <w:rPr>
          <w:rFonts w:hint="eastAsia"/>
          <w:kern w:val="2"/>
          <w:sz w:val="30"/>
          <w:szCs w:val="30"/>
          <w:lang w:val="en-US" w:bidi="ar"/>
        </w:rPr>
        <w:t>位于山西组第一岩段底部，全区赋存，大部为不可采区。煤层厚度</w:t>
      </w:r>
      <w:r>
        <w:rPr>
          <w:rFonts w:ascii="Times New Roman" w:hAnsi="Times New Roman" w:cs="Times New Roman"/>
          <w:kern w:val="2"/>
          <w:sz w:val="30"/>
          <w:szCs w:val="30"/>
          <w:lang w:val="en-US" w:bidi="ar"/>
        </w:rPr>
        <w:t>0.27</w:t>
      </w:r>
      <w:r>
        <w:rPr>
          <w:rFonts w:hint="eastAsia"/>
          <w:kern w:val="2"/>
          <w:sz w:val="30"/>
          <w:szCs w:val="30"/>
          <w:lang w:val="en-US" w:bidi="ar"/>
        </w:rPr>
        <w:t>～</w:t>
      </w:r>
      <w:r>
        <w:rPr>
          <w:rFonts w:ascii="Times New Roman" w:hAnsi="Times New Roman" w:cs="Times New Roman"/>
          <w:kern w:val="2"/>
          <w:sz w:val="30"/>
          <w:szCs w:val="30"/>
          <w:lang w:val="en-US" w:bidi="ar"/>
        </w:rPr>
        <w:t>0.80m</w:t>
      </w:r>
      <w:r>
        <w:rPr>
          <w:rFonts w:hint="eastAsia"/>
          <w:kern w:val="2"/>
          <w:sz w:val="30"/>
          <w:szCs w:val="30"/>
          <w:lang w:val="en-US" w:bidi="ar"/>
        </w:rPr>
        <w:t>，平均</w:t>
      </w:r>
      <w:r>
        <w:rPr>
          <w:rFonts w:ascii="Times New Roman" w:hAnsi="Times New Roman" w:cs="Times New Roman"/>
          <w:kern w:val="2"/>
          <w:sz w:val="30"/>
          <w:szCs w:val="30"/>
          <w:lang w:val="en-US" w:bidi="ar"/>
        </w:rPr>
        <w:t>0.62m</w:t>
      </w:r>
      <w:r>
        <w:rPr>
          <w:rFonts w:hint="eastAsia"/>
          <w:kern w:val="2"/>
          <w:sz w:val="30"/>
          <w:szCs w:val="30"/>
          <w:lang w:val="en-US" w:bidi="ar"/>
        </w:rPr>
        <w:t>；结构简单，不含或含</w:t>
      </w:r>
      <w:r>
        <w:rPr>
          <w:rFonts w:hint="eastAsia" w:ascii="Times New Roman" w:hAnsi="Times New Roman"/>
          <w:kern w:val="2"/>
          <w:sz w:val="30"/>
          <w:szCs w:val="30"/>
          <w:lang w:val="en-US" w:bidi="ar"/>
        </w:rPr>
        <w:t>1</w:t>
      </w:r>
      <w:r>
        <w:rPr>
          <w:rFonts w:hint="eastAsia"/>
          <w:kern w:val="2"/>
          <w:sz w:val="30"/>
          <w:szCs w:val="30"/>
          <w:lang w:val="en-US" w:bidi="ar"/>
        </w:rPr>
        <w:t>层夹矸，属不稳定煤层。顶板岩性为泥岩或砂质泥岩，底板为细粉砂岩。距下部</w:t>
      </w:r>
      <w:r>
        <w:rPr>
          <w:rFonts w:ascii="Times New Roman" w:hAnsi="Times New Roman" w:cs="Times New Roman"/>
          <w:kern w:val="2"/>
          <w:sz w:val="30"/>
          <w:szCs w:val="30"/>
          <w:lang w:val="en-US" w:bidi="ar"/>
        </w:rPr>
        <w:t>16-1</w:t>
      </w:r>
      <w:r>
        <w:rPr>
          <w:rFonts w:hint="eastAsia"/>
          <w:kern w:val="2"/>
          <w:sz w:val="30"/>
          <w:szCs w:val="30"/>
          <w:lang w:val="en-US" w:bidi="ar"/>
        </w:rPr>
        <w:t>煤层</w:t>
      </w:r>
      <w:r>
        <w:rPr>
          <w:rFonts w:ascii="Times New Roman" w:hAnsi="Times New Roman" w:cs="Times New Roman"/>
          <w:kern w:val="2"/>
          <w:sz w:val="30"/>
          <w:szCs w:val="30"/>
          <w:lang w:val="en-US" w:bidi="ar"/>
        </w:rPr>
        <w:t>43.89</w:t>
      </w:r>
      <w:r>
        <w:rPr>
          <w:rFonts w:hint="eastAsia"/>
          <w:kern w:val="2"/>
          <w:sz w:val="30"/>
          <w:szCs w:val="30"/>
          <w:lang w:val="en-US" w:bidi="ar"/>
        </w:rPr>
        <w:t>～</w:t>
      </w:r>
      <w:r>
        <w:rPr>
          <w:rFonts w:ascii="Times New Roman" w:hAnsi="Times New Roman" w:cs="Times New Roman"/>
          <w:kern w:val="2"/>
          <w:sz w:val="30"/>
          <w:szCs w:val="30"/>
          <w:lang w:val="en-US" w:bidi="ar"/>
        </w:rPr>
        <w:t>66.28m</w:t>
      </w:r>
      <w:r>
        <w:rPr>
          <w:rFonts w:hint="eastAsia"/>
          <w:kern w:val="2"/>
          <w:sz w:val="30"/>
          <w:szCs w:val="30"/>
          <w:lang w:val="en-US" w:bidi="ar"/>
        </w:rPr>
        <w:t>，平均间距</w:t>
      </w:r>
      <w:r>
        <w:rPr>
          <w:rFonts w:ascii="Times New Roman" w:hAnsi="Times New Roman" w:cs="Times New Roman"/>
          <w:kern w:val="2"/>
          <w:sz w:val="30"/>
          <w:szCs w:val="30"/>
          <w:lang w:val="en-US" w:bidi="ar"/>
        </w:rPr>
        <w:t>50.47m</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16-1</w:t>
      </w:r>
      <w:r>
        <w:rPr>
          <w:rFonts w:hint="eastAsia"/>
          <w:kern w:val="2"/>
          <w:sz w:val="30"/>
          <w:szCs w:val="30"/>
          <w:lang w:val="en-US" w:bidi="ar"/>
        </w:rPr>
        <w:t>煤层  位于石炭系上统太原组第一段中上部，全区发育且可采，煤层结构较复杂，夹矸一般</w:t>
      </w:r>
      <w:r>
        <w:rPr>
          <w:rFonts w:ascii="Times New Roman" w:hAnsi="Times New Roman" w:cs="Times New Roman"/>
          <w:kern w:val="2"/>
          <w:sz w:val="30"/>
          <w:szCs w:val="30"/>
          <w:lang w:val="en-US" w:bidi="ar"/>
        </w:rPr>
        <w:t>0</w:t>
      </w:r>
      <w:r>
        <w:rPr>
          <w:rFonts w:hint="eastAsia"/>
          <w:kern w:val="2"/>
          <w:sz w:val="30"/>
          <w:szCs w:val="30"/>
          <w:lang w:val="en-US" w:bidi="ar"/>
        </w:rPr>
        <w:t>～</w:t>
      </w:r>
      <w:r>
        <w:rPr>
          <w:rFonts w:ascii="Times New Roman" w:hAnsi="Times New Roman" w:cs="Times New Roman"/>
          <w:kern w:val="2"/>
          <w:sz w:val="30"/>
          <w:szCs w:val="30"/>
          <w:lang w:val="en-US" w:bidi="ar"/>
        </w:rPr>
        <w:t>5</w:t>
      </w:r>
      <w:r>
        <w:rPr>
          <w:rFonts w:hint="eastAsia"/>
          <w:kern w:val="2"/>
          <w:sz w:val="30"/>
          <w:szCs w:val="30"/>
          <w:lang w:val="en-US" w:bidi="ar"/>
        </w:rPr>
        <w:t>层，煤层厚度</w:t>
      </w:r>
      <w:r>
        <w:rPr>
          <w:rFonts w:ascii="Times New Roman" w:hAnsi="Times New Roman" w:cs="Times New Roman"/>
          <w:kern w:val="2"/>
          <w:sz w:val="30"/>
          <w:szCs w:val="30"/>
          <w:lang w:val="en-US" w:bidi="ar"/>
        </w:rPr>
        <w:t>1.30</w:t>
      </w:r>
      <w:r>
        <w:rPr>
          <w:rFonts w:hint="eastAsia"/>
          <w:kern w:val="2"/>
          <w:sz w:val="30"/>
          <w:szCs w:val="30"/>
          <w:lang w:val="en-US" w:bidi="ar"/>
        </w:rPr>
        <w:t>～</w:t>
      </w:r>
      <w:r>
        <w:rPr>
          <w:rFonts w:hint="eastAsia" w:ascii="Times New Roman" w:hAnsi="Times New Roman"/>
          <w:kern w:val="2"/>
          <w:sz w:val="30"/>
          <w:szCs w:val="30"/>
          <w:lang w:val="en-US" w:bidi="ar"/>
        </w:rPr>
        <w:t>5</w:t>
      </w:r>
      <w:r>
        <w:rPr>
          <w:rFonts w:ascii="Times New Roman" w:hAnsi="Times New Roman" w:cs="Times New Roman"/>
          <w:kern w:val="2"/>
          <w:sz w:val="30"/>
          <w:szCs w:val="30"/>
          <w:lang w:val="en-US" w:bidi="ar"/>
        </w:rPr>
        <w:t>.</w:t>
      </w:r>
      <w:r>
        <w:rPr>
          <w:rFonts w:hint="eastAsia" w:ascii="Times New Roman" w:hAnsi="Times New Roman"/>
          <w:kern w:val="2"/>
          <w:sz w:val="30"/>
          <w:szCs w:val="30"/>
          <w:lang w:val="en-US" w:bidi="ar"/>
        </w:rPr>
        <w:t>33</w:t>
      </w:r>
      <w:r>
        <w:rPr>
          <w:rFonts w:ascii="Times New Roman" w:hAnsi="Times New Roman" w:cs="Times New Roman"/>
          <w:kern w:val="2"/>
          <w:sz w:val="30"/>
          <w:szCs w:val="30"/>
          <w:lang w:val="en-US" w:bidi="ar"/>
        </w:rPr>
        <w:t>m</w:t>
      </w:r>
      <w:r>
        <w:rPr>
          <w:rFonts w:hint="eastAsia"/>
          <w:kern w:val="2"/>
          <w:sz w:val="30"/>
          <w:szCs w:val="30"/>
          <w:lang w:val="en-US" w:bidi="ar"/>
        </w:rPr>
        <w:t>，平均</w:t>
      </w:r>
      <w:r>
        <w:rPr>
          <w:rFonts w:ascii="Times New Roman" w:hAnsi="Times New Roman" w:cs="Times New Roman"/>
          <w:kern w:val="2"/>
          <w:sz w:val="30"/>
          <w:szCs w:val="30"/>
          <w:lang w:val="en-US" w:bidi="ar"/>
        </w:rPr>
        <w:t>3.63m</w:t>
      </w:r>
      <w:r>
        <w:rPr>
          <w:rFonts w:hint="eastAsia"/>
          <w:kern w:val="2"/>
          <w:sz w:val="30"/>
          <w:szCs w:val="30"/>
          <w:lang w:val="en-US" w:bidi="ar"/>
        </w:rPr>
        <w:t>，较稳定，利用厚度</w:t>
      </w:r>
      <w:r>
        <w:rPr>
          <w:rFonts w:ascii="Times New Roman" w:hAnsi="Times New Roman" w:cs="Times New Roman"/>
          <w:kern w:val="2"/>
          <w:sz w:val="30"/>
          <w:szCs w:val="30"/>
          <w:lang w:val="en-US" w:bidi="ar"/>
        </w:rPr>
        <w:t>1.30</w:t>
      </w:r>
      <w:r>
        <w:rPr>
          <w:rFonts w:hint="eastAsia"/>
          <w:kern w:val="2"/>
          <w:sz w:val="30"/>
          <w:szCs w:val="30"/>
          <w:lang w:val="en-US" w:bidi="ar"/>
        </w:rPr>
        <w:t>～</w:t>
      </w:r>
      <w:r>
        <w:rPr>
          <w:rFonts w:ascii="Times New Roman" w:hAnsi="Times New Roman" w:cs="Times New Roman"/>
          <w:kern w:val="2"/>
          <w:sz w:val="30"/>
          <w:szCs w:val="30"/>
          <w:lang w:val="en-US" w:bidi="ar"/>
        </w:rPr>
        <w:t>4.55m</w:t>
      </w:r>
      <w:r>
        <w:rPr>
          <w:rFonts w:hint="eastAsia"/>
          <w:kern w:val="2"/>
          <w:sz w:val="30"/>
          <w:szCs w:val="30"/>
          <w:lang w:val="en-US" w:bidi="ar"/>
        </w:rPr>
        <w:t>，平均</w:t>
      </w:r>
      <w:r>
        <w:rPr>
          <w:rFonts w:ascii="Times New Roman" w:hAnsi="Times New Roman" w:cs="Times New Roman"/>
          <w:kern w:val="2"/>
          <w:sz w:val="30"/>
          <w:szCs w:val="30"/>
          <w:lang w:val="en-US" w:bidi="ar"/>
        </w:rPr>
        <w:t>3.08m</w:t>
      </w:r>
      <w:r>
        <w:rPr>
          <w:rFonts w:hint="eastAsia"/>
          <w:kern w:val="2"/>
          <w:sz w:val="30"/>
          <w:szCs w:val="30"/>
          <w:lang w:val="en-US" w:bidi="ar"/>
        </w:rPr>
        <w:t>，属较稳定煤层。顶板岩性为深灰色泥岩或砂质泥岩，局部为细粒砂岩，底板多为灰黑色泥岩或炭质泥岩，距下部</w:t>
      </w:r>
      <w:r>
        <w:rPr>
          <w:rFonts w:hint="eastAsia" w:ascii="Times New Roman" w:hAnsi="Times New Roman"/>
          <w:kern w:val="2"/>
          <w:sz w:val="30"/>
          <w:szCs w:val="30"/>
          <w:lang w:val="en-US" w:bidi="ar"/>
        </w:rPr>
        <w:t>16-2</w:t>
      </w:r>
      <w:r>
        <w:rPr>
          <w:rFonts w:hint="eastAsia"/>
          <w:kern w:val="2"/>
          <w:sz w:val="30"/>
          <w:szCs w:val="30"/>
          <w:lang w:val="en-US" w:bidi="ar"/>
        </w:rPr>
        <w:t>煤层</w:t>
      </w:r>
      <w:r>
        <w:rPr>
          <w:rFonts w:ascii="Times New Roman" w:hAnsi="Times New Roman" w:cs="Times New Roman"/>
          <w:kern w:val="2"/>
          <w:sz w:val="30"/>
          <w:szCs w:val="30"/>
          <w:lang w:val="en-US" w:bidi="ar"/>
        </w:rPr>
        <w:t>0.43</w:t>
      </w:r>
      <w:r>
        <w:rPr>
          <w:rFonts w:hint="eastAsia"/>
          <w:kern w:val="2"/>
          <w:sz w:val="30"/>
          <w:szCs w:val="30"/>
          <w:lang w:val="en-US" w:bidi="ar"/>
        </w:rPr>
        <w:t>～</w:t>
      </w:r>
      <w:r>
        <w:rPr>
          <w:rFonts w:ascii="Times New Roman" w:hAnsi="Times New Roman" w:cs="Times New Roman"/>
          <w:kern w:val="2"/>
          <w:sz w:val="30"/>
          <w:szCs w:val="30"/>
          <w:lang w:val="en-US" w:bidi="ar"/>
        </w:rPr>
        <w:t>5.74m</w:t>
      </w:r>
      <w:r>
        <w:rPr>
          <w:rFonts w:hint="eastAsia"/>
          <w:kern w:val="2"/>
          <w:sz w:val="30"/>
          <w:szCs w:val="30"/>
          <w:lang w:val="en-US" w:bidi="ar"/>
        </w:rPr>
        <w:t>，平均间距</w:t>
      </w:r>
      <w:r>
        <w:rPr>
          <w:rFonts w:ascii="Times New Roman" w:hAnsi="Times New Roman" w:cs="Times New Roman"/>
          <w:kern w:val="2"/>
          <w:sz w:val="30"/>
          <w:szCs w:val="30"/>
          <w:lang w:val="en-US" w:bidi="ar"/>
        </w:rPr>
        <w:t>2.86m</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ascii="Times New Roman" w:hAnsi="Times New Roman"/>
          <w:kern w:val="2"/>
          <w:sz w:val="30"/>
          <w:szCs w:val="30"/>
          <w:lang w:val="en-US" w:bidi="ar"/>
        </w:rPr>
        <w:t>16-2</w:t>
      </w:r>
      <w:r>
        <w:rPr>
          <w:rFonts w:hint="eastAsia"/>
          <w:kern w:val="2"/>
          <w:sz w:val="30"/>
          <w:szCs w:val="30"/>
          <w:lang w:val="en-US" w:bidi="ar"/>
        </w:rPr>
        <w:t>煤层   位于</w:t>
      </w:r>
      <w:r>
        <w:rPr>
          <w:rFonts w:ascii="Times New Roman" w:hAnsi="Times New Roman" w:cs="Times New Roman"/>
          <w:kern w:val="2"/>
          <w:sz w:val="30"/>
          <w:szCs w:val="30"/>
          <w:lang w:val="en-US" w:bidi="ar"/>
        </w:rPr>
        <w:t>16-1</w:t>
      </w:r>
      <w:r>
        <w:rPr>
          <w:rFonts w:hint="eastAsia"/>
          <w:kern w:val="2"/>
          <w:sz w:val="30"/>
          <w:szCs w:val="30"/>
          <w:lang w:val="en-US" w:bidi="ar"/>
        </w:rPr>
        <w:t>煤层下部，全区发育且可采。煤层厚度</w:t>
      </w:r>
      <w:r>
        <w:rPr>
          <w:rFonts w:ascii="Times New Roman" w:hAnsi="Times New Roman" w:cs="Times New Roman"/>
          <w:kern w:val="2"/>
          <w:sz w:val="30"/>
          <w:szCs w:val="30"/>
          <w:lang w:val="en-US" w:bidi="ar"/>
        </w:rPr>
        <w:t>0.99</w:t>
      </w:r>
      <w:r>
        <w:rPr>
          <w:rFonts w:hint="eastAsia"/>
          <w:kern w:val="2"/>
          <w:sz w:val="30"/>
          <w:szCs w:val="30"/>
          <w:lang w:val="en-US" w:bidi="ar"/>
        </w:rPr>
        <w:t>～</w:t>
      </w:r>
      <w:r>
        <w:rPr>
          <w:rFonts w:ascii="Times New Roman" w:hAnsi="Times New Roman" w:cs="Times New Roman"/>
          <w:kern w:val="2"/>
          <w:sz w:val="30"/>
          <w:szCs w:val="30"/>
          <w:lang w:val="en-US" w:bidi="ar"/>
        </w:rPr>
        <w:t>6.05m</w:t>
      </w:r>
      <w:r>
        <w:rPr>
          <w:rFonts w:hint="eastAsia"/>
          <w:kern w:val="2"/>
          <w:sz w:val="30"/>
          <w:szCs w:val="30"/>
          <w:lang w:val="en-US" w:bidi="ar"/>
        </w:rPr>
        <w:t>，平均</w:t>
      </w:r>
      <w:r>
        <w:rPr>
          <w:rFonts w:ascii="Times New Roman" w:hAnsi="Times New Roman" w:cs="Times New Roman"/>
          <w:kern w:val="2"/>
          <w:sz w:val="30"/>
          <w:szCs w:val="30"/>
          <w:lang w:val="en-US" w:bidi="ar"/>
        </w:rPr>
        <w:t>2.26m</w:t>
      </w:r>
      <w:r>
        <w:rPr>
          <w:rFonts w:hint="eastAsia"/>
          <w:kern w:val="2"/>
          <w:sz w:val="30"/>
          <w:szCs w:val="30"/>
          <w:lang w:val="en-US" w:bidi="ar"/>
        </w:rPr>
        <w:t>，结构复杂，含</w:t>
      </w:r>
      <w:r>
        <w:rPr>
          <w:rFonts w:hint="eastAsia" w:ascii="Times New Roman" w:hAnsi="Times New Roman"/>
          <w:kern w:val="2"/>
          <w:sz w:val="30"/>
          <w:szCs w:val="30"/>
          <w:lang w:val="en-US" w:bidi="ar"/>
        </w:rPr>
        <w:t>0</w:t>
      </w:r>
      <w:r>
        <w:rPr>
          <w:rFonts w:hint="eastAsia"/>
          <w:kern w:val="2"/>
          <w:sz w:val="30"/>
          <w:szCs w:val="30"/>
          <w:lang w:val="en-US" w:bidi="ar"/>
        </w:rPr>
        <w:t>～</w:t>
      </w:r>
      <w:r>
        <w:rPr>
          <w:rFonts w:ascii="Times New Roman" w:hAnsi="Times New Roman" w:cs="Times New Roman"/>
          <w:kern w:val="2"/>
          <w:sz w:val="30"/>
          <w:szCs w:val="30"/>
          <w:lang w:val="en-US" w:bidi="ar"/>
        </w:rPr>
        <w:t>5</w:t>
      </w:r>
      <w:r>
        <w:rPr>
          <w:rFonts w:hint="eastAsia"/>
          <w:kern w:val="2"/>
          <w:sz w:val="30"/>
          <w:szCs w:val="30"/>
          <w:lang w:val="en-US" w:bidi="ar"/>
        </w:rPr>
        <w:t>层夹矸，属较稳定煤层；利用厚度</w:t>
      </w:r>
      <w:r>
        <w:rPr>
          <w:rFonts w:ascii="Times New Roman" w:hAnsi="Times New Roman" w:cs="Times New Roman"/>
          <w:kern w:val="2"/>
          <w:sz w:val="30"/>
          <w:szCs w:val="30"/>
          <w:lang w:val="en-US" w:bidi="ar"/>
        </w:rPr>
        <w:t>0.99</w:t>
      </w:r>
      <w:r>
        <w:rPr>
          <w:rFonts w:hint="eastAsia"/>
          <w:kern w:val="2"/>
          <w:sz w:val="30"/>
          <w:szCs w:val="30"/>
          <w:lang w:val="en-US" w:bidi="ar"/>
        </w:rPr>
        <w:t>～</w:t>
      </w:r>
      <w:r>
        <w:rPr>
          <w:rFonts w:ascii="Times New Roman" w:hAnsi="Times New Roman" w:cs="Times New Roman"/>
          <w:kern w:val="2"/>
          <w:sz w:val="30"/>
          <w:szCs w:val="30"/>
          <w:lang w:val="en-US" w:bidi="ar"/>
        </w:rPr>
        <w:t>5.21m</w:t>
      </w:r>
      <w:r>
        <w:rPr>
          <w:rFonts w:hint="eastAsia"/>
          <w:kern w:val="2"/>
          <w:sz w:val="30"/>
          <w:szCs w:val="30"/>
          <w:lang w:val="en-US" w:bidi="ar"/>
        </w:rPr>
        <w:t>，平均</w:t>
      </w:r>
      <w:r>
        <w:rPr>
          <w:rFonts w:ascii="Times New Roman" w:hAnsi="Times New Roman" w:cs="Times New Roman"/>
          <w:kern w:val="2"/>
          <w:sz w:val="30"/>
          <w:szCs w:val="30"/>
          <w:lang w:val="en-US" w:bidi="ar"/>
        </w:rPr>
        <w:t>1.86m</w:t>
      </w:r>
      <w:r>
        <w:rPr>
          <w:rFonts w:hint="eastAsia"/>
          <w:kern w:val="2"/>
          <w:sz w:val="30"/>
          <w:szCs w:val="30"/>
          <w:lang w:val="en-US" w:bidi="ar"/>
        </w:rPr>
        <w:t>。顶板岩性为砂质泥岩或细砂岩，底板岩性为灰色细、粉砂岩或砂质泥岩，距下部</w:t>
      </w:r>
      <w:r>
        <w:rPr>
          <w:rFonts w:hint="eastAsia" w:ascii="Times New Roman" w:hAnsi="Times New Roman"/>
          <w:kern w:val="2"/>
          <w:sz w:val="30"/>
          <w:szCs w:val="30"/>
          <w:lang w:val="en-US" w:bidi="ar"/>
        </w:rPr>
        <w:t>17</w:t>
      </w:r>
      <w:r>
        <w:rPr>
          <w:rFonts w:hint="eastAsia"/>
          <w:kern w:val="2"/>
          <w:sz w:val="30"/>
          <w:szCs w:val="30"/>
          <w:lang w:val="en-US" w:bidi="ar"/>
        </w:rPr>
        <w:t>号煤层</w:t>
      </w:r>
      <w:r>
        <w:rPr>
          <w:rFonts w:ascii="Times New Roman" w:hAnsi="Times New Roman" w:cs="Times New Roman"/>
          <w:kern w:val="2"/>
          <w:sz w:val="30"/>
          <w:szCs w:val="30"/>
          <w:lang w:val="en-US" w:bidi="ar"/>
        </w:rPr>
        <w:t>3.61</w:t>
      </w:r>
      <w:r>
        <w:rPr>
          <w:rFonts w:hint="eastAsia"/>
          <w:kern w:val="2"/>
          <w:sz w:val="30"/>
          <w:szCs w:val="30"/>
          <w:lang w:val="en-US" w:bidi="ar"/>
        </w:rPr>
        <w:t>～</w:t>
      </w:r>
      <w:r>
        <w:rPr>
          <w:rFonts w:ascii="Times New Roman" w:hAnsi="Times New Roman" w:cs="Times New Roman"/>
          <w:kern w:val="2"/>
          <w:sz w:val="30"/>
          <w:szCs w:val="30"/>
          <w:lang w:val="en-US" w:bidi="ar"/>
        </w:rPr>
        <w:t>7.55m</w:t>
      </w:r>
      <w:r>
        <w:rPr>
          <w:rFonts w:hint="eastAsia"/>
          <w:kern w:val="2"/>
          <w:sz w:val="30"/>
          <w:szCs w:val="30"/>
          <w:lang w:val="en-US" w:bidi="ar"/>
        </w:rPr>
        <w:t>，平均间距</w:t>
      </w:r>
      <w:r>
        <w:rPr>
          <w:rFonts w:ascii="Times New Roman" w:hAnsi="Times New Roman" w:cs="Times New Roman"/>
          <w:kern w:val="2"/>
          <w:sz w:val="30"/>
          <w:szCs w:val="30"/>
          <w:lang w:val="en-US" w:bidi="ar"/>
        </w:rPr>
        <w:t>5.25m</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spacing w:val="-6"/>
          <w:kern w:val="2"/>
          <w:sz w:val="30"/>
          <w:szCs w:val="30"/>
        </w:rPr>
      </w:pPr>
      <w:r>
        <w:rPr>
          <w:rFonts w:hint="eastAsia" w:ascii="Times New Roman" w:hAnsi="Times New Roman"/>
          <w:kern w:val="2"/>
          <w:sz w:val="30"/>
          <w:szCs w:val="30"/>
          <w:lang w:val="en-US" w:bidi="ar"/>
        </w:rPr>
        <w:t>17</w:t>
      </w:r>
      <w:r>
        <w:rPr>
          <w:rFonts w:hint="eastAsia"/>
          <w:kern w:val="2"/>
          <w:sz w:val="30"/>
          <w:szCs w:val="30"/>
          <w:lang w:val="en-US" w:bidi="ar"/>
        </w:rPr>
        <w:t xml:space="preserve">号煤层   </w:t>
      </w:r>
      <w:r>
        <w:rPr>
          <w:rFonts w:hint="eastAsia"/>
          <w:spacing w:val="-6"/>
          <w:kern w:val="2"/>
          <w:sz w:val="30"/>
          <w:szCs w:val="30"/>
          <w:lang w:val="en-US" w:bidi="ar"/>
        </w:rPr>
        <w:t>位于石炭系上统太原组第一岩段底部。全区发育且大部可采，煤层厚</w:t>
      </w:r>
      <w:r>
        <w:rPr>
          <w:rFonts w:ascii="Times New Roman" w:hAnsi="Times New Roman" w:cs="Times New Roman"/>
          <w:spacing w:val="-6"/>
          <w:kern w:val="2"/>
          <w:sz w:val="30"/>
          <w:szCs w:val="30"/>
          <w:lang w:val="en-US" w:bidi="ar"/>
        </w:rPr>
        <w:t>0.46</w:t>
      </w:r>
      <w:r>
        <w:rPr>
          <w:rFonts w:hint="eastAsia"/>
          <w:spacing w:val="-6"/>
          <w:kern w:val="2"/>
          <w:sz w:val="30"/>
          <w:szCs w:val="30"/>
          <w:lang w:val="en-US" w:bidi="ar"/>
        </w:rPr>
        <w:t>～</w:t>
      </w:r>
      <w:r>
        <w:rPr>
          <w:rFonts w:ascii="Times New Roman" w:hAnsi="Times New Roman" w:cs="Times New Roman"/>
          <w:spacing w:val="-6"/>
          <w:kern w:val="2"/>
          <w:sz w:val="30"/>
          <w:szCs w:val="30"/>
          <w:lang w:val="en-US" w:bidi="ar"/>
        </w:rPr>
        <w:t>2.99</w:t>
      </w:r>
      <w:r>
        <w:rPr>
          <w:rFonts w:hint="eastAsia" w:ascii="Times New Roman" w:hAnsi="Times New Roman"/>
          <w:spacing w:val="-6"/>
          <w:kern w:val="2"/>
          <w:sz w:val="30"/>
          <w:szCs w:val="30"/>
          <w:lang w:val="en-US" w:bidi="ar"/>
        </w:rPr>
        <w:t>m</w:t>
      </w:r>
      <w:r>
        <w:rPr>
          <w:rFonts w:hint="eastAsia"/>
          <w:spacing w:val="-6"/>
          <w:kern w:val="2"/>
          <w:sz w:val="30"/>
          <w:szCs w:val="30"/>
          <w:lang w:val="en-US" w:bidi="ar"/>
        </w:rPr>
        <w:t>，平均</w:t>
      </w:r>
      <w:r>
        <w:rPr>
          <w:rFonts w:ascii="Times New Roman" w:hAnsi="Times New Roman" w:cs="Times New Roman"/>
          <w:spacing w:val="-6"/>
          <w:kern w:val="2"/>
          <w:sz w:val="30"/>
          <w:szCs w:val="30"/>
          <w:lang w:val="en-US" w:bidi="ar"/>
        </w:rPr>
        <w:t>1.53</w:t>
      </w:r>
      <w:r>
        <w:rPr>
          <w:rFonts w:hint="eastAsia" w:ascii="Times New Roman" w:hAnsi="Times New Roman"/>
          <w:spacing w:val="-6"/>
          <w:kern w:val="2"/>
          <w:sz w:val="30"/>
          <w:szCs w:val="30"/>
          <w:lang w:val="en-US" w:bidi="ar"/>
        </w:rPr>
        <w:t>m</w:t>
      </w:r>
      <w:r>
        <w:rPr>
          <w:rFonts w:hint="eastAsia"/>
          <w:spacing w:val="-6"/>
          <w:kern w:val="2"/>
          <w:sz w:val="30"/>
          <w:szCs w:val="30"/>
          <w:lang w:val="en-US" w:bidi="ar"/>
        </w:rPr>
        <w:t>，储量利用厚度</w:t>
      </w:r>
      <w:r>
        <w:rPr>
          <w:rFonts w:ascii="Times New Roman" w:hAnsi="Times New Roman" w:cs="Times New Roman"/>
          <w:spacing w:val="-6"/>
          <w:kern w:val="2"/>
          <w:sz w:val="30"/>
          <w:szCs w:val="30"/>
          <w:lang w:val="en-US" w:bidi="ar"/>
        </w:rPr>
        <w:t>0.70</w:t>
      </w:r>
      <w:r>
        <w:rPr>
          <w:rFonts w:hint="eastAsia"/>
          <w:spacing w:val="-6"/>
          <w:kern w:val="2"/>
          <w:sz w:val="30"/>
          <w:szCs w:val="30"/>
          <w:lang w:val="en-US" w:bidi="ar"/>
        </w:rPr>
        <w:t>～</w:t>
      </w:r>
      <w:r>
        <w:rPr>
          <w:rFonts w:ascii="Times New Roman" w:hAnsi="Times New Roman" w:cs="Times New Roman"/>
          <w:spacing w:val="-6"/>
          <w:kern w:val="2"/>
          <w:sz w:val="30"/>
          <w:szCs w:val="30"/>
          <w:lang w:val="en-US" w:bidi="ar"/>
        </w:rPr>
        <w:t>2.32</w:t>
      </w:r>
      <w:r>
        <w:rPr>
          <w:rFonts w:hint="eastAsia" w:ascii="Times New Roman" w:hAnsi="Times New Roman"/>
          <w:spacing w:val="-6"/>
          <w:kern w:val="2"/>
          <w:sz w:val="30"/>
          <w:szCs w:val="30"/>
          <w:lang w:val="en-US" w:bidi="ar"/>
        </w:rPr>
        <w:t>m</w:t>
      </w:r>
      <w:r>
        <w:rPr>
          <w:rFonts w:hint="eastAsia"/>
          <w:spacing w:val="-6"/>
          <w:kern w:val="2"/>
          <w:sz w:val="30"/>
          <w:szCs w:val="30"/>
          <w:lang w:val="en-US" w:bidi="ar"/>
        </w:rPr>
        <w:t>，平均</w:t>
      </w:r>
      <w:r>
        <w:rPr>
          <w:rFonts w:ascii="Times New Roman" w:hAnsi="Times New Roman" w:cs="Times New Roman"/>
          <w:spacing w:val="-6"/>
          <w:kern w:val="2"/>
          <w:sz w:val="30"/>
          <w:szCs w:val="30"/>
          <w:lang w:val="en-US" w:bidi="ar"/>
        </w:rPr>
        <w:t>1.36</w:t>
      </w:r>
      <w:r>
        <w:rPr>
          <w:rFonts w:hint="eastAsia" w:ascii="Times New Roman" w:hAnsi="Times New Roman"/>
          <w:spacing w:val="-6"/>
          <w:kern w:val="2"/>
          <w:sz w:val="30"/>
          <w:szCs w:val="30"/>
          <w:lang w:val="en-US" w:bidi="ar"/>
        </w:rPr>
        <w:t>m</w:t>
      </w:r>
      <w:r>
        <w:rPr>
          <w:rFonts w:hint="eastAsia"/>
          <w:spacing w:val="-6"/>
          <w:kern w:val="2"/>
          <w:sz w:val="30"/>
          <w:szCs w:val="30"/>
          <w:lang w:val="en-US" w:bidi="ar"/>
        </w:rPr>
        <w:t>，结构较简单～中等，含夹矸</w:t>
      </w:r>
      <w:r>
        <w:rPr>
          <w:rFonts w:ascii="Times New Roman" w:hAnsi="Times New Roman" w:cs="Times New Roman"/>
          <w:spacing w:val="-6"/>
          <w:kern w:val="2"/>
          <w:sz w:val="30"/>
          <w:szCs w:val="30"/>
          <w:lang w:val="en-US" w:bidi="ar"/>
        </w:rPr>
        <w:t>0</w:t>
      </w:r>
      <w:r>
        <w:rPr>
          <w:rFonts w:hint="eastAsia"/>
          <w:spacing w:val="-6"/>
          <w:kern w:val="2"/>
          <w:sz w:val="30"/>
          <w:szCs w:val="30"/>
          <w:lang w:val="en-US" w:bidi="ar"/>
        </w:rPr>
        <w:t>～</w:t>
      </w:r>
      <w:r>
        <w:rPr>
          <w:rFonts w:ascii="Times New Roman" w:hAnsi="Times New Roman" w:cs="Times New Roman"/>
          <w:spacing w:val="-6"/>
          <w:kern w:val="2"/>
          <w:sz w:val="30"/>
          <w:szCs w:val="30"/>
          <w:lang w:val="en-US" w:bidi="ar"/>
        </w:rPr>
        <w:t>5</w:t>
      </w:r>
      <w:r>
        <w:rPr>
          <w:rFonts w:hint="eastAsia"/>
          <w:spacing w:val="-6"/>
          <w:kern w:val="2"/>
          <w:sz w:val="30"/>
          <w:szCs w:val="30"/>
          <w:lang w:val="en-US" w:bidi="ar"/>
        </w:rPr>
        <w:t>层，属较稳定煤层。顶板多为深灰色泥岩及砂质泥岩，底板为灰色细粒砂岩或粘土岩。</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ascii="Times New Roman" w:hAnsi="Times New Roman"/>
          <w:kern w:val="2"/>
          <w:sz w:val="30"/>
          <w:szCs w:val="30"/>
        </w:rPr>
      </w:pPr>
      <w:r>
        <w:rPr>
          <w:rFonts w:hint="eastAsia"/>
          <w:kern w:val="2"/>
          <w:sz w:val="30"/>
          <w:szCs w:val="30"/>
          <w:lang w:val="en-US" w:bidi="ar"/>
        </w:rPr>
        <w:t>井田范围内有可采和大部可采的煤层</w:t>
      </w:r>
      <w:r>
        <w:rPr>
          <w:rFonts w:hint="eastAsia" w:ascii="Times New Roman" w:hAnsi="Times New Roman"/>
          <w:kern w:val="2"/>
          <w:sz w:val="30"/>
          <w:szCs w:val="30"/>
          <w:lang w:val="en-US" w:bidi="ar"/>
        </w:rPr>
        <w:t>6</w:t>
      </w:r>
      <w:r>
        <w:rPr>
          <w:rFonts w:hint="eastAsia"/>
          <w:kern w:val="2"/>
          <w:sz w:val="30"/>
          <w:szCs w:val="30"/>
          <w:lang w:val="en-US" w:bidi="ar"/>
        </w:rPr>
        <w:t>层，平均最大可采厚度</w:t>
      </w:r>
      <w:r>
        <w:rPr>
          <w:rFonts w:ascii="Times New Roman" w:hAnsi="Times New Roman" w:cs="Times New Roman"/>
          <w:kern w:val="2"/>
          <w:sz w:val="30"/>
          <w:szCs w:val="30"/>
          <w:lang w:val="en-US" w:bidi="ar"/>
        </w:rPr>
        <w:t>3.08m(16-1</w:t>
      </w:r>
      <w:r>
        <w:rPr>
          <w:rFonts w:hint="eastAsia"/>
          <w:kern w:val="2"/>
          <w:sz w:val="30"/>
          <w:szCs w:val="30"/>
          <w:lang w:val="en-US" w:bidi="ar"/>
        </w:rPr>
        <w:t>煤</w:t>
      </w:r>
      <w:r>
        <w:rPr>
          <w:rFonts w:hint="eastAsia" w:ascii="Times New Roman" w:hAnsi="Times New Roman"/>
          <w:kern w:val="2"/>
          <w:sz w:val="30"/>
          <w:szCs w:val="30"/>
          <w:lang w:val="en-US" w:bidi="ar"/>
        </w:rPr>
        <w:t>)</w:t>
      </w:r>
      <w:r>
        <w:rPr>
          <w:rFonts w:hint="eastAsia"/>
          <w:kern w:val="2"/>
          <w:sz w:val="30"/>
          <w:szCs w:val="30"/>
          <w:lang w:val="en-US" w:bidi="ar"/>
        </w:rPr>
        <w:t>，平均最小可采厚度</w:t>
      </w:r>
      <w:r>
        <w:rPr>
          <w:rFonts w:ascii="Times New Roman" w:hAnsi="Times New Roman" w:cs="Times New Roman"/>
          <w:kern w:val="2"/>
          <w:sz w:val="30"/>
          <w:szCs w:val="30"/>
          <w:lang w:val="en-US" w:bidi="ar"/>
        </w:rPr>
        <w:t>1.01m(9-3</w:t>
      </w:r>
      <w:r>
        <w:rPr>
          <w:rFonts w:hint="eastAsia"/>
          <w:kern w:val="2"/>
          <w:sz w:val="30"/>
          <w:szCs w:val="30"/>
          <w:lang w:val="en-US" w:bidi="ar"/>
        </w:rPr>
        <w:t>煤</w:t>
      </w:r>
      <w:r>
        <w:rPr>
          <w:rFonts w:hint="eastAsia" w:ascii="Times New Roman" w:hAnsi="Times New Roman"/>
          <w:kern w:val="2"/>
          <w:sz w:val="30"/>
          <w:szCs w:val="30"/>
          <w:lang w:val="en-US" w:bidi="ar"/>
        </w:rPr>
        <w:t>)</w:t>
      </w:r>
      <w:r>
        <w:rPr>
          <w:rFonts w:hint="eastAsia"/>
          <w:kern w:val="2"/>
          <w:sz w:val="30"/>
          <w:szCs w:val="30"/>
          <w:lang w:val="en-US" w:bidi="ar"/>
        </w:rPr>
        <w:t>，煤层倾角</w:t>
      </w:r>
      <w:r>
        <w:rPr>
          <w:rFonts w:ascii="Times New Roman" w:hAnsi="Times New Roman" w:cs="Times New Roman"/>
          <w:kern w:val="2"/>
          <w:sz w:val="30"/>
          <w:szCs w:val="30"/>
          <w:lang w:val="en-US" w:bidi="ar"/>
        </w:rPr>
        <w:t>6</w:t>
      </w:r>
      <w:r>
        <w:rPr>
          <w:rFonts w:ascii="Times New Roman" w:hAnsi="Times New Roman" w:cs="Symbol"/>
          <w:kern w:val="2"/>
          <w:sz w:val="30"/>
          <w:szCs w:val="30"/>
          <w:lang w:val="en-US" w:bidi="ar"/>
        </w:rPr>
        <w:t>°</w:t>
      </w:r>
      <w:r>
        <w:rPr>
          <w:rFonts w:hint="eastAsia"/>
          <w:kern w:val="2"/>
          <w:sz w:val="30"/>
          <w:szCs w:val="30"/>
          <w:lang w:val="en-US" w:bidi="ar"/>
        </w:rPr>
        <w:t>～</w:t>
      </w:r>
      <w:r>
        <w:rPr>
          <w:rFonts w:hint="eastAsia" w:ascii="Times New Roman" w:hAnsi="Times New Roman"/>
          <w:kern w:val="2"/>
          <w:sz w:val="30"/>
          <w:szCs w:val="30"/>
          <w:lang w:val="en-US" w:bidi="ar"/>
        </w:rPr>
        <w:t>10</w:t>
      </w:r>
      <w:r>
        <w:rPr>
          <w:rFonts w:ascii="Times New Roman" w:hAnsi="Times New Roman" w:cs="Symbol"/>
          <w:kern w:val="2"/>
          <w:sz w:val="30"/>
          <w:szCs w:val="30"/>
          <w:lang w:val="en-US" w:bidi="ar"/>
        </w:rPr>
        <w:t>°</w:t>
      </w:r>
      <w:r>
        <w:rPr>
          <w:rFonts w:hint="eastAsia"/>
          <w:kern w:val="2"/>
          <w:sz w:val="30"/>
          <w:szCs w:val="30"/>
          <w:lang w:val="en-US" w:bidi="ar"/>
        </w:rPr>
        <w:t>，为近水平薄及中厚煤层群。最上一层可采煤层与最下一层可采煤层的平均间距约</w:t>
      </w:r>
      <w:r>
        <w:rPr>
          <w:rFonts w:hint="eastAsia" w:ascii="Times New Roman" w:hAnsi="Times New Roman"/>
          <w:kern w:val="2"/>
          <w:sz w:val="30"/>
          <w:szCs w:val="30"/>
          <w:lang w:val="en-US" w:bidi="ar"/>
        </w:rPr>
        <w:t>68</w:t>
      </w:r>
      <w:r>
        <w:rPr>
          <w:rFonts w:ascii="Times New Roman" w:hAnsi="Times New Roman" w:cs="Times New Roman"/>
          <w:kern w:val="2"/>
          <w:sz w:val="30"/>
          <w:szCs w:val="30"/>
          <w:lang w:val="en-US" w:bidi="ar"/>
        </w:rPr>
        <w:t>m</w:t>
      </w:r>
      <w:r>
        <w:rPr>
          <w:rFonts w:hint="eastAsia"/>
          <w:kern w:val="2"/>
          <w:sz w:val="30"/>
          <w:szCs w:val="30"/>
          <w:lang w:val="en-US" w:bidi="ar"/>
        </w:rPr>
        <w:t>。</w:t>
      </w:r>
    </w:p>
    <w:p>
      <w:pPr>
        <w:pStyle w:val="3"/>
        <w:keepNext/>
        <w:keepLines/>
        <w:pageBreakBefore w:val="0"/>
        <w:widowControl/>
        <w:kinsoku/>
        <w:wordWrap/>
        <w:overflowPunct/>
        <w:topLinePunct w:val="0"/>
        <w:autoSpaceDE w:val="0"/>
        <w:autoSpaceDN w:val="0"/>
        <w:bidi w:val="0"/>
        <w:adjustRightInd/>
        <w:snapToGrid/>
        <w:spacing w:before="0" w:after="0" w:line="600" w:lineRule="exact"/>
        <w:jc w:val="center"/>
        <w:textAlignment w:val="auto"/>
        <w:rPr>
          <w:rFonts w:ascii="宋体" w:hAnsi="宋体" w:eastAsia="宋体"/>
          <w:b/>
          <w:color w:val="auto"/>
          <w:sz w:val="30"/>
          <w:szCs w:val="30"/>
        </w:rPr>
      </w:pPr>
      <w:bookmarkStart w:id="19" w:name="_Toc98326264"/>
      <w:bookmarkEnd w:id="19"/>
      <w:bookmarkStart w:id="20" w:name="_Toc217874206"/>
      <w:bookmarkStart w:id="21" w:name="_Toc28083"/>
      <w:r>
        <w:rPr>
          <w:rFonts w:hint="eastAsia" w:ascii="宋体" w:hAnsi="宋体" w:eastAsia="宋体"/>
          <w:b/>
          <w:color w:val="auto"/>
          <w:sz w:val="30"/>
          <w:szCs w:val="30"/>
        </w:rPr>
        <w:t>第三节</w:t>
      </w:r>
      <w:r>
        <w:rPr>
          <w:rFonts w:hint="eastAsia" w:ascii="宋体" w:hAnsi="宋体" w:eastAsia="宋体"/>
          <w:b/>
          <w:color w:val="auto"/>
          <w:sz w:val="30"/>
          <w:szCs w:val="30"/>
          <w:lang w:val="en-US" w:eastAsia="zh-CN"/>
        </w:rPr>
        <w:t xml:space="preserve">  </w:t>
      </w:r>
      <w:r>
        <w:rPr>
          <w:rFonts w:hint="eastAsia" w:ascii="宋体" w:hAnsi="宋体" w:eastAsia="宋体"/>
          <w:b/>
          <w:color w:val="auto"/>
          <w:sz w:val="30"/>
          <w:szCs w:val="30"/>
        </w:rPr>
        <w:t xml:space="preserve"> 矿山概况</w:t>
      </w:r>
      <w:bookmarkEnd w:id="20"/>
      <w:bookmarkEnd w:id="21"/>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jc w:val="both"/>
        <w:textAlignment w:val="auto"/>
        <w:rPr>
          <w:kern w:val="2"/>
          <w:sz w:val="30"/>
          <w:szCs w:val="30"/>
        </w:rPr>
      </w:pPr>
      <w:bookmarkStart w:id="22" w:name="_Toc51649754"/>
      <w:bookmarkEnd w:id="22"/>
      <w:bookmarkStart w:id="23" w:name="_Toc51007472"/>
      <w:bookmarkEnd w:id="23"/>
      <w:bookmarkStart w:id="24" w:name="_Toc117169004"/>
      <w:r>
        <w:rPr>
          <w:rFonts w:hint="eastAsia"/>
          <w:kern w:val="2"/>
          <w:sz w:val="30"/>
          <w:szCs w:val="30"/>
        </w:rPr>
        <w:t>一、 矿山</w:t>
      </w:r>
      <w:bookmarkEnd w:id="24"/>
      <w:r>
        <w:rPr>
          <w:rFonts w:hint="eastAsia"/>
          <w:kern w:val="2"/>
          <w:sz w:val="30"/>
          <w:szCs w:val="30"/>
        </w:rPr>
        <w:t>企业概况</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hint="eastAsia"/>
          <w:kern w:val="2"/>
          <w:sz w:val="30"/>
          <w:szCs w:val="30"/>
          <w:lang w:val="en-US" w:bidi="ar"/>
        </w:rPr>
      </w:pPr>
      <w:r>
        <w:rPr>
          <w:rFonts w:hint="eastAsia"/>
          <w:kern w:val="2"/>
          <w:sz w:val="30"/>
          <w:szCs w:val="30"/>
          <w:lang w:val="en-US" w:bidi="ar"/>
        </w:rPr>
        <w:t>本矿为新建的矿井，井田内无其他矿开采。</w:t>
      </w:r>
      <w:r>
        <w:rPr>
          <w:rFonts w:hint="eastAsia" w:cs="宋体"/>
          <w:color w:val="0000FF"/>
          <w:spacing w:val="-3"/>
          <w:sz w:val="30"/>
          <w:szCs w:val="30"/>
          <w:lang w:val="en-US" w:eastAsia="zh-CN" w:bidi="ar"/>
        </w:rPr>
        <w:t>井田南部与中科宝诚露天煤矿相邻，西部为天誉煤矿。东邻通达煤矿。始建于1996年，目前正在进行技术改造，成为露天煤矿。</w:t>
      </w:r>
      <w:r>
        <w:rPr>
          <w:rFonts w:hint="eastAsia"/>
          <w:kern w:val="2"/>
          <w:sz w:val="30"/>
          <w:szCs w:val="30"/>
          <w:lang w:val="en-US" w:bidi="ar"/>
        </w:rPr>
        <w:t>各煤层特征见表1-1。</w:t>
      </w:r>
    </w:p>
    <w:p>
      <w:pPr>
        <w:pStyle w:val="10"/>
        <w:pageBreakBefore w:val="0"/>
        <w:kinsoku/>
        <w:wordWrap/>
        <w:overflowPunct/>
        <w:topLinePunct w:val="0"/>
        <w:autoSpaceDE w:val="0"/>
        <w:autoSpaceDN w:val="0"/>
        <w:bidi w:val="0"/>
        <w:adjustRightInd/>
        <w:snapToGrid/>
        <w:spacing w:line="600" w:lineRule="exact"/>
        <w:ind w:firstLine="600" w:firstLineChars="200"/>
        <w:jc w:val="both"/>
        <w:textAlignment w:val="auto"/>
        <w:rPr>
          <w:rFonts w:hint="eastAsia"/>
          <w:kern w:val="2"/>
          <w:sz w:val="30"/>
          <w:szCs w:val="30"/>
          <w:lang w:val="en-US" w:bidi="ar"/>
        </w:rPr>
      </w:pPr>
    </w:p>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spacing w:val="40"/>
          <w:kern w:val="2"/>
          <w:sz w:val="30"/>
          <w:szCs w:val="30"/>
          <w:lang w:val="en-US" w:eastAsia="zh-CN"/>
        </w:rPr>
      </w:pPr>
      <w:r>
        <w:rPr>
          <w:rFonts w:hint="eastAsia" w:ascii="宋体" w:hAnsi="宋体" w:eastAsia="宋体" w:cs="宋体"/>
          <w:spacing w:val="40"/>
          <w:kern w:val="2"/>
          <w:sz w:val="30"/>
          <w:szCs w:val="30"/>
          <w:lang w:val="en-US" w:bidi="ar"/>
        </w:rPr>
        <w:t>可采煤层特征表</w:t>
      </w:r>
      <w:r>
        <w:rPr>
          <w:rFonts w:hint="eastAsia" w:cs="宋体"/>
          <w:spacing w:val="40"/>
          <w:kern w:val="2"/>
          <w:sz w:val="30"/>
          <w:szCs w:val="30"/>
          <w:lang w:val="en-US" w:eastAsia="zh-CN" w:bidi="ar"/>
        </w:rPr>
        <w:t>1-1</w:t>
      </w:r>
    </w:p>
    <w:tbl>
      <w:tblPr>
        <w:tblStyle w:val="11"/>
        <w:tblpPr w:leftFromText="180" w:rightFromText="180" w:vertAnchor="text" w:horzAnchor="page" w:tblpX="2078" w:tblpY="399"/>
        <w:tblOverlap w:val="never"/>
        <w:tblW w:w="7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426"/>
        <w:gridCol w:w="1279"/>
        <w:gridCol w:w="1236"/>
        <w:gridCol w:w="932"/>
        <w:gridCol w:w="98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9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煤</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层</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号</w:t>
            </w:r>
          </w:p>
        </w:tc>
        <w:tc>
          <w:tcPr>
            <w:tcW w:w="3941" w:type="dxa"/>
            <w:gridSpan w:val="3"/>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煤层厚度</w:t>
            </w:r>
          </w:p>
        </w:tc>
        <w:tc>
          <w:tcPr>
            <w:tcW w:w="932" w:type="dxa"/>
            <w:vMerge w:val="restart"/>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稳</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定</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性</w:t>
            </w:r>
          </w:p>
        </w:tc>
        <w:tc>
          <w:tcPr>
            <w:tcW w:w="988" w:type="dxa"/>
            <w:vMerge w:val="restart"/>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对比</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程度</w:t>
            </w:r>
          </w:p>
        </w:tc>
        <w:tc>
          <w:tcPr>
            <w:tcW w:w="1078" w:type="dxa"/>
            <w:vMerge w:val="restart"/>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9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自然</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厚度</w:t>
            </w:r>
          </w:p>
        </w:tc>
        <w:tc>
          <w:tcPr>
            <w:tcW w:w="1279"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hint="eastAsia" w:ascii="Times New Roman" w:hAnsi="Times New Roman"/>
                <w:kern w:val="2"/>
                <w:sz w:val="21"/>
                <w:szCs w:val="21"/>
                <w:lang w:val="en-US" w:bidi="ar"/>
              </w:rPr>
              <w:t>可采</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厚度</w:t>
            </w:r>
          </w:p>
        </w:tc>
        <w:tc>
          <w:tcPr>
            <w:tcW w:w="1235"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煤层</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间距</w:t>
            </w:r>
          </w:p>
        </w:tc>
        <w:tc>
          <w:tcPr>
            <w:tcW w:w="93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9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u w:val="single"/>
              </w:rPr>
            </w:pPr>
            <w:r>
              <w:rPr>
                <w:rFonts w:hint="eastAsia" w:ascii="Times New Roman" w:hAnsi="Times New Roman"/>
                <w:kern w:val="2"/>
                <w:sz w:val="21"/>
                <w:szCs w:val="21"/>
                <w:u w:val="single"/>
                <w:lang w:val="en-US" w:bidi="ar"/>
              </w:rPr>
              <w:t>最小</w:t>
            </w:r>
            <w:r>
              <w:rPr>
                <w:rFonts w:ascii="Times New Roman" w:hAnsi="Times New Roman" w:cs="Times New Roman"/>
                <w:kern w:val="2"/>
                <w:sz w:val="21"/>
                <w:szCs w:val="21"/>
                <w:u w:val="single"/>
                <w:lang w:val="en-US" w:bidi="ar"/>
              </w:rPr>
              <w:t>-</w:t>
            </w:r>
            <w:r>
              <w:rPr>
                <w:rFonts w:hint="eastAsia"/>
                <w:kern w:val="2"/>
                <w:sz w:val="21"/>
                <w:szCs w:val="21"/>
                <w:u w:val="single"/>
                <w:lang w:val="en-US" w:bidi="ar"/>
              </w:rPr>
              <w:t>最大</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平均</w:t>
            </w:r>
            <w:r>
              <w:rPr>
                <w:rFonts w:ascii="Times New Roman" w:hAnsi="Times New Roman" w:cs="Times New Roman"/>
                <w:kern w:val="2"/>
                <w:sz w:val="21"/>
                <w:szCs w:val="21"/>
                <w:lang w:val="en-US" w:bidi="ar"/>
              </w:rPr>
              <w:t>(</w:t>
            </w:r>
            <w:r>
              <w:rPr>
                <w:rFonts w:hint="eastAsia"/>
                <w:kern w:val="2"/>
                <w:sz w:val="21"/>
                <w:szCs w:val="21"/>
                <w:lang w:val="en-US" w:bidi="ar"/>
              </w:rPr>
              <w:t>数</w:t>
            </w:r>
            <w:r>
              <w:rPr>
                <w:rFonts w:ascii="Times New Roman" w:hAnsi="Times New Roman" w:cs="Times New Roman"/>
                <w:kern w:val="2"/>
                <w:sz w:val="21"/>
                <w:szCs w:val="21"/>
                <w:lang w:val="en-US" w:bidi="ar"/>
              </w:rPr>
              <w:t>)</w:t>
            </w:r>
          </w:p>
        </w:tc>
        <w:tc>
          <w:tcPr>
            <w:tcW w:w="1279"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u w:val="single"/>
              </w:rPr>
            </w:pPr>
            <w:r>
              <w:rPr>
                <w:rFonts w:hint="eastAsia" w:ascii="Times New Roman" w:hAnsi="Times New Roman"/>
                <w:kern w:val="2"/>
                <w:sz w:val="21"/>
                <w:szCs w:val="21"/>
                <w:u w:val="single"/>
                <w:lang w:val="en-US" w:bidi="ar"/>
              </w:rPr>
              <w:t>最小</w:t>
            </w:r>
            <w:r>
              <w:rPr>
                <w:rFonts w:ascii="Times New Roman" w:hAnsi="Times New Roman" w:cs="Times New Roman"/>
                <w:kern w:val="2"/>
                <w:sz w:val="21"/>
                <w:szCs w:val="21"/>
                <w:u w:val="single"/>
                <w:lang w:val="en-US" w:bidi="ar"/>
              </w:rPr>
              <w:t>-</w:t>
            </w:r>
            <w:r>
              <w:rPr>
                <w:rFonts w:hint="eastAsia"/>
                <w:kern w:val="2"/>
                <w:sz w:val="21"/>
                <w:szCs w:val="21"/>
                <w:u w:val="single"/>
                <w:lang w:val="en-US" w:bidi="ar"/>
              </w:rPr>
              <w:t>最大</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平均</w:t>
            </w:r>
            <w:r>
              <w:rPr>
                <w:rFonts w:ascii="Times New Roman" w:hAnsi="Times New Roman" w:cs="Times New Roman"/>
                <w:kern w:val="2"/>
                <w:sz w:val="21"/>
                <w:szCs w:val="21"/>
                <w:lang w:val="en-US" w:bidi="ar"/>
              </w:rPr>
              <w:t>(</w:t>
            </w:r>
            <w:r>
              <w:rPr>
                <w:rFonts w:hint="eastAsia"/>
                <w:kern w:val="2"/>
                <w:sz w:val="21"/>
                <w:szCs w:val="21"/>
                <w:lang w:val="en-US" w:bidi="ar"/>
              </w:rPr>
              <w:t>数</w:t>
            </w:r>
            <w:r>
              <w:rPr>
                <w:rFonts w:ascii="Times New Roman" w:hAnsi="Times New Roman" w:cs="Times New Roman"/>
                <w:kern w:val="2"/>
                <w:sz w:val="21"/>
                <w:szCs w:val="21"/>
                <w:lang w:val="en-US" w:bidi="ar"/>
              </w:rPr>
              <w:t>)</w:t>
            </w:r>
          </w:p>
        </w:tc>
        <w:tc>
          <w:tcPr>
            <w:tcW w:w="1235"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u w:val="single"/>
              </w:rPr>
            </w:pPr>
            <w:r>
              <w:rPr>
                <w:rFonts w:hint="eastAsia" w:ascii="Times New Roman" w:hAnsi="Times New Roman"/>
                <w:kern w:val="2"/>
                <w:sz w:val="21"/>
                <w:szCs w:val="21"/>
                <w:u w:val="single"/>
                <w:lang w:val="en-US" w:bidi="ar"/>
              </w:rPr>
              <w:t>最小</w:t>
            </w:r>
            <w:r>
              <w:rPr>
                <w:rFonts w:ascii="Times New Roman" w:hAnsi="Times New Roman" w:cs="Times New Roman"/>
                <w:kern w:val="2"/>
                <w:sz w:val="21"/>
                <w:szCs w:val="21"/>
                <w:u w:val="single"/>
                <w:lang w:val="en-US" w:bidi="ar"/>
              </w:rPr>
              <w:t>-</w:t>
            </w:r>
            <w:r>
              <w:rPr>
                <w:rFonts w:hint="eastAsia"/>
                <w:kern w:val="2"/>
                <w:sz w:val="21"/>
                <w:szCs w:val="21"/>
                <w:u w:val="single"/>
                <w:lang w:val="en-US" w:bidi="ar"/>
              </w:rPr>
              <w:t>最大</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平均</w:t>
            </w:r>
            <w:r>
              <w:rPr>
                <w:rFonts w:ascii="Times New Roman" w:hAnsi="Times New Roman" w:cs="Times New Roman"/>
                <w:kern w:val="2"/>
                <w:sz w:val="21"/>
                <w:szCs w:val="21"/>
                <w:lang w:val="en-US" w:bidi="ar"/>
              </w:rPr>
              <w:t>(</w:t>
            </w:r>
            <w:r>
              <w:rPr>
                <w:rFonts w:hint="eastAsia"/>
                <w:kern w:val="2"/>
                <w:sz w:val="21"/>
                <w:szCs w:val="21"/>
                <w:lang w:val="en-US" w:bidi="ar"/>
              </w:rPr>
              <w:t>数</w:t>
            </w:r>
            <w:r>
              <w:rPr>
                <w:rFonts w:ascii="Times New Roman" w:hAnsi="Times New Roman" w:cs="Times New Roman"/>
                <w:kern w:val="2"/>
                <w:sz w:val="21"/>
                <w:szCs w:val="21"/>
                <w:lang w:val="en-US" w:bidi="ar"/>
              </w:rPr>
              <w:t>)</w:t>
            </w:r>
          </w:p>
        </w:tc>
        <w:tc>
          <w:tcPr>
            <w:tcW w:w="93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8-1</w:t>
            </w:r>
          </w:p>
        </w:tc>
        <w:tc>
          <w:tcPr>
            <w:tcW w:w="1426"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0.56-2.78</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hint="eastAsia" w:ascii="Times New Roman" w:hAnsi="Times New Roman"/>
                <w:spacing w:val="-10"/>
                <w:kern w:val="2"/>
                <w:sz w:val="21"/>
                <w:szCs w:val="21"/>
                <w:lang w:val="en-US" w:bidi="ar"/>
              </w:rPr>
              <w:t>1.</w:t>
            </w:r>
            <w:r>
              <w:rPr>
                <w:rFonts w:ascii="Times New Roman" w:hAnsi="Times New Roman" w:cs="Times New Roman"/>
                <w:spacing w:val="-10"/>
                <w:kern w:val="2"/>
                <w:sz w:val="21"/>
                <w:szCs w:val="21"/>
                <w:lang w:val="en-US" w:bidi="ar"/>
              </w:rPr>
              <w:t>28</w:t>
            </w:r>
            <w:r>
              <w:rPr>
                <w:rFonts w:hint="eastAsia" w:ascii="Times New Roman" w:hAnsi="Times New Roman"/>
                <w:spacing w:val="-10"/>
                <w:kern w:val="2"/>
                <w:sz w:val="21"/>
                <w:szCs w:val="21"/>
                <w:lang w:val="en-US" w:bidi="ar"/>
              </w:rPr>
              <w:t xml:space="preserve"> (1</w:t>
            </w:r>
            <w:r>
              <w:rPr>
                <w:rFonts w:ascii="Times New Roman" w:hAnsi="Times New Roman" w:cs="Times New Roman"/>
                <w:spacing w:val="-10"/>
                <w:kern w:val="2"/>
                <w:sz w:val="21"/>
                <w:szCs w:val="21"/>
                <w:lang w:val="en-US" w:bidi="ar"/>
              </w:rPr>
              <w:t>3</w:t>
            </w:r>
            <w:r>
              <w:rPr>
                <w:rFonts w:hint="eastAsia" w:ascii="Times New Roman" w:hAnsi="Times New Roman"/>
                <w:spacing w:val="-10"/>
                <w:kern w:val="2"/>
                <w:sz w:val="21"/>
                <w:szCs w:val="21"/>
                <w:lang w:val="en-US" w:bidi="ar"/>
              </w:rPr>
              <w:t>)</w:t>
            </w:r>
          </w:p>
        </w:tc>
        <w:tc>
          <w:tcPr>
            <w:tcW w:w="1279"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u w:val="single"/>
                <w:lang w:val="en-US" w:bidi="ar"/>
              </w:rPr>
              <w:t>0.70</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2.54</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2.00</w:t>
            </w:r>
            <w:r>
              <w:rPr>
                <w:rFonts w:hint="eastAsia" w:ascii="Times New Roman" w:hAnsi="Times New Roman"/>
                <w:spacing w:val="-10"/>
                <w:kern w:val="2"/>
                <w:sz w:val="21"/>
                <w:szCs w:val="21"/>
                <w:lang w:val="en-US" w:bidi="ar"/>
              </w:rPr>
              <w:t>(</w:t>
            </w:r>
            <w:r>
              <w:rPr>
                <w:rFonts w:ascii="Times New Roman" w:hAnsi="Times New Roman" w:cs="Times New Roman"/>
                <w:spacing w:val="-10"/>
                <w:kern w:val="2"/>
                <w:sz w:val="21"/>
                <w:szCs w:val="21"/>
                <w:lang w:val="en-US" w:bidi="ar"/>
              </w:rPr>
              <w:t>1</w:t>
            </w:r>
            <w:r>
              <w:rPr>
                <w:rFonts w:hint="eastAsia" w:ascii="Times New Roman" w:hAnsi="Times New Roman"/>
                <w:spacing w:val="-10"/>
                <w:kern w:val="2"/>
                <w:sz w:val="21"/>
                <w:szCs w:val="21"/>
                <w:lang w:val="en-US" w:bidi="ar"/>
              </w:rPr>
              <w:t>3)</w:t>
            </w:r>
          </w:p>
        </w:tc>
        <w:tc>
          <w:tcPr>
            <w:tcW w:w="1235"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hint="eastAsia" w:ascii="Times New Roman" w:hAnsi="Times New Roman"/>
                <w:spacing w:val="-10"/>
                <w:kern w:val="2"/>
                <w:sz w:val="21"/>
                <w:szCs w:val="21"/>
                <w:u w:val="single"/>
                <w:lang w:val="en-US" w:bidi="ar"/>
              </w:rPr>
              <w:t>3</w:t>
            </w:r>
            <w:r>
              <w:rPr>
                <w:rFonts w:ascii="Times New Roman" w:hAnsi="Times New Roman" w:cs="Times New Roman"/>
                <w:spacing w:val="-10"/>
                <w:kern w:val="2"/>
                <w:sz w:val="21"/>
                <w:szCs w:val="21"/>
                <w:u w:val="single"/>
                <w:lang w:val="en-US" w:bidi="ar"/>
              </w:rPr>
              <w:t>.57-8.06</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4.87</w:t>
            </w:r>
          </w:p>
        </w:tc>
        <w:tc>
          <w:tcPr>
            <w:tcW w:w="932"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较稳定</w:t>
            </w:r>
          </w:p>
        </w:tc>
        <w:tc>
          <w:tcPr>
            <w:tcW w:w="988"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全区</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936" w:type="dxa"/>
            <w:vMerge w:val="restart"/>
            <w:tcBorders>
              <w:top w:val="nil"/>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9-2</w:t>
            </w:r>
          </w:p>
        </w:tc>
        <w:tc>
          <w:tcPr>
            <w:tcW w:w="1426"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0.96</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3.40</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1.85</w:t>
            </w:r>
            <w:r>
              <w:rPr>
                <w:rFonts w:hint="eastAsia" w:ascii="Times New Roman" w:hAnsi="Times New Roman"/>
                <w:spacing w:val="-10"/>
                <w:kern w:val="2"/>
                <w:sz w:val="21"/>
                <w:szCs w:val="21"/>
                <w:lang w:val="en-US" w:bidi="ar"/>
              </w:rPr>
              <w:t>(</w:t>
            </w:r>
            <w:r>
              <w:rPr>
                <w:rFonts w:ascii="Times New Roman" w:hAnsi="Times New Roman" w:cs="Times New Roman"/>
                <w:spacing w:val="-10"/>
                <w:kern w:val="2"/>
                <w:sz w:val="21"/>
                <w:szCs w:val="21"/>
                <w:lang w:val="en-US" w:bidi="ar"/>
              </w:rPr>
              <w:t>13</w:t>
            </w:r>
            <w:r>
              <w:rPr>
                <w:rFonts w:hint="eastAsia" w:ascii="Times New Roman" w:hAnsi="Times New Roman"/>
                <w:spacing w:val="-10"/>
                <w:kern w:val="2"/>
                <w:sz w:val="21"/>
                <w:szCs w:val="21"/>
                <w:lang w:val="en-US" w:bidi="ar"/>
              </w:rPr>
              <w:t>)</w:t>
            </w:r>
          </w:p>
        </w:tc>
        <w:tc>
          <w:tcPr>
            <w:tcW w:w="1279"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0.96</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3.40</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1.67</w:t>
            </w:r>
            <w:r>
              <w:rPr>
                <w:rFonts w:hint="eastAsia" w:ascii="Times New Roman" w:hAnsi="Times New Roman"/>
                <w:spacing w:val="-10"/>
                <w:kern w:val="2"/>
                <w:sz w:val="21"/>
                <w:szCs w:val="21"/>
                <w:lang w:val="en-US" w:bidi="ar"/>
              </w:rPr>
              <w:t>(1</w:t>
            </w:r>
            <w:r>
              <w:rPr>
                <w:rFonts w:ascii="Times New Roman" w:hAnsi="Times New Roman" w:cs="Times New Roman"/>
                <w:spacing w:val="-10"/>
                <w:kern w:val="2"/>
                <w:sz w:val="21"/>
                <w:szCs w:val="21"/>
                <w:lang w:val="en-US" w:bidi="ar"/>
              </w:rPr>
              <w:t>3</w:t>
            </w:r>
            <w:r>
              <w:rPr>
                <w:rFonts w:hint="eastAsia" w:ascii="Times New Roman" w:hAnsi="Times New Roman"/>
                <w:spacing w:val="-10"/>
                <w:kern w:val="2"/>
                <w:sz w:val="21"/>
                <w:szCs w:val="21"/>
                <w:lang w:val="en-US" w:bidi="ar"/>
              </w:rPr>
              <w:t>)</w:t>
            </w:r>
          </w:p>
        </w:tc>
        <w:tc>
          <w:tcPr>
            <w:tcW w:w="1235"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32"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较稳定</w:t>
            </w:r>
          </w:p>
        </w:tc>
        <w:tc>
          <w:tcPr>
            <w:tcW w:w="98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大部可采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93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7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35"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u w:val="single"/>
                <w:lang w:val="en-US" w:bidi="ar"/>
              </w:rPr>
              <w:t>0.05-1.74</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lang w:val="en-US" w:bidi="ar"/>
              </w:rPr>
              <w:t>0.86</w:t>
            </w:r>
          </w:p>
        </w:tc>
        <w:tc>
          <w:tcPr>
            <w:tcW w:w="932"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936" w:type="dxa"/>
            <w:vMerge w:val="restart"/>
            <w:tcBorders>
              <w:top w:val="nil"/>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9-3</w:t>
            </w:r>
          </w:p>
        </w:tc>
        <w:tc>
          <w:tcPr>
            <w:tcW w:w="1426"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hint="eastAsia" w:ascii="Times New Roman" w:hAnsi="Times New Roman"/>
                <w:spacing w:val="-10"/>
                <w:kern w:val="2"/>
                <w:sz w:val="21"/>
                <w:szCs w:val="21"/>
                <w:u w:val="single"/>
                <w:lang w:val="en-US" w:bidi="ar"/>
              </w:rPr>
              <w:t>0.</w:t>
            </w:r>
            <w:r>
              <w:rPr>
                <w:rFonts w:ascii="Times New Roman" w:hAnsi="Times New Roman" w:cs="Times New Roman"/>
                <w:spacing w:val="-10"/>
                <w:kern w:val="2"/>
                <w:sz w:val="21"/>
                <w:szCs w:val="21"/>
                <w:u w:val="single"/>
                <w:lang w:val="en-US" w:bidi="ar"/>
              </w:rPr>
              <w:t>04</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1.65</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hint="eastAsia" w:ascii="Times New Roman" w:hAnsi="Times New Roman"/>
                <w:spacing w:val="-10"/>
                <w:kern w:val="2"/>
                <w:sz w:val="21"/>
                <w:szCs w:val="21"/>
                <w:lang w:val="en-US" w:bidi="ar"/>
              </w:rPr>
              <w:t>0.</w:t>
            </w:r>
            <w:r>
              <w:rPr>
                <w:rFonts w:ascii="Times New Roman" w:hAnsi="Times New Roman" w:cs="Times New Roman"/>
                <w:spacing w:val="-10"/>
                <w:kern w:val="2"/>
                <w:sz w:val="21"/>
                <w:szCs w:val="21"/>
                <w:lang w:val="en-US" w:bidi="ar"/>
              </w:rPr>
              <w:t>93</w:t>
            </w:r>
            <w:r>
              <w:rPr>
                <w:rFonts w:hint="eastAsia" w:ascii="Times New Roman" w:hAnsi="Times New Roman"/>
                <w:spacing w:val="-10"/>
                <w:kern w:val="2"/>
                <w:sz w:val="21"/>
                <w:szCs w:val="21"/>
                <w:lang w:val="en-US" w:bidi="ar"/>
              </w:rPr>
              <w:t>(</w:t>
            </w:r>
            <w:r>
              <w:rPr>
                <w:rFonts w:ascii="Times New Roman" w:hAnsi="Times New Roman" w:cs="Times New Roman"/>
                <w:spacing w:val="-10"/>
                <w:kern w:val="2"/>
                <w:sz w:val="21"/>
                <w:szCs w:val="21"/>
                <w:lang w:val="en-US" w:bidi="ar"/>
              </w:rPr>
              <w:t>13</w:t>
            </w:r>
            <w:r>
              <w:rPr>
                <w:rFonts w:hint="eastAsia" w:ascii="Times New Roman" w:hAnsi="Times New Roman"/>
                <w:spacing w:val="-10"/>
                <w:kern w:val="2"/>
                <w:sz w:val="21"/>
                <w:szCs w:val="21"/>
                <w:lang w:val="en-US" w:bidi="ar"/>
              </w:rPr>
              <w:t>)</w:t>
            </w:r>
          </w:p>
        </w:tc>
        <w:tc>
          <w:tcPr>
            <w:tcW w:w="1279"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0.70</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1.65</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1.01</w:t>
            </w:r>
            <w:r>
              <w:rPr>
                <w:rFonts w:hint="eastAsia" w:ascii="Times New Roman" w:hAnsi="Times New Roman"/>
                <w:spacing w:val="-10"/>
                <w:kern w:val="2"/>
                <w:sz w:val="21"/>
                <w:szCs w:val="21"/>
                <w:lang w:val="en-US" w:bidi="ar"/>
              </w:rPr>
              <w:t>(1</w:t>
            </w:r>
            <w:r>
              <w:rPr>
                <w:rFonts w:ascii="Times New Roman" w:hAnsi="Times New Roman" w:cs="Times New Roman"/>
                <w:spacing w:val="-10"/>
                <w:kern w:val="2"/>
                <w:sz w:val="21"/>
                <w:szCs w:val="21"/>
                <w:lang w:val="en-US" w:bidi="ar"/>
              </w:rPr>
              <w:t>1</w:t>
            </w:r>
            <w:r>
              <w:rPr>
                <w:rFonts w:hint="eastAsia" w:ascii="Times New Roman" w:hAnsi="Times New Roman"/>
                <w:spacing w:val="-10"/>
                <w:kern w:val="2"/>
                <w:sz w:val="21"/>
                <w:szCs w:val="21"/>
                <w:lang w:val="en-US" w:bidi="ar"/>
              </w:rPr>
              <w:t>)</w:t>
            </w:r>
          </w:p>
        </w:tc>
        <w:tc>
          <w:tcPr>
            <w:tcW w:w="1235"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32"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较稳定</w:t>
            </w:r>
          </w:p>
        </w:tc>
        <w:tc>
          <w:tcPr>
            <w:tcW w:w="98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大部</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93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7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35"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u w:val="single"/>
                <w:lang w:val="en-US" w:bidi="ar"/>
              </w:rPr>
              <w:t>2.70-6.95</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lang w:val="en-US" w:bidi="ar"/>
              </w:rPr>
              <w:t>3.94</w:t>
            </w:r>
          </w:p>
        </w:tc>
        <w:tc>
          <w:tcPr>
            <w:tcW w:w="932"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936" w:type="dxa"/>
            <w:vMerge w:val="restart"/>
            <w:tcBorders>
              <w:top w:val="nil"/>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10</w:t>
            </w:r>
          </w:p>
        </w:tc>
        <w:tc>
          <w:tcPr>
            <w:tcW w:w="1426"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hint="eastAsia" w:ascii="Times New Roman" w:hAnsi="Times New Roman"/>
                <w:spacing w:val="-10"/>
                <w:kern w:val="2"/>
                <w:sz w:val="21"/>
                <w:szCs w:val="21"/>
                <w:u w:val="single"/>
                <w:lang w:val="en-US" w:bidi="ar"/>
              </w:rPr>
              <w:t>0.</w:t>
            </w:r>
            <w:r>
              <w:rPr>
                <w:rFonts w:ascii="Times New Roman" w:hAnsi="Times New Roman" w:cs="Times New Roman"/>
                <w:spacing w:val="-10"/>
                <w:kern w:val="2"/>
                <w:sz w:val="21"/>
                <w:szCs w:val="21"/>
                <w:u w:val="single"/>
                <w:lang w:val="en-US" w:bidi="ar"/>
              </w:rPr>
              <w:t>27</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0.80</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lang w:val="en-US" w:bidi="ar"/>
              </w:rPr>
              <w:t>0.62</w:t>
            </w:r>
          </w:p>
        </w:tc>
        <w:tc>
          <w:tcPr>
            <w:tcW w:w="1279"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0.70</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0.80</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0.77</w:t>
            </w:r>
            <w:r>
              <w:rPr>
                <w:rFonts w:hint="eastAsia" w:ascii="Times New Roman" w:hAnsi="Times New Roman"/>
                <w:spacing w:val="-10"/>
                <w:kern w:val="2"/>
                <w:sz w:val="21"/>
                <w:szCs w:val="21"/>
                <w:lang w:val="en-US" w:bidi="ar"/>
              </w:rPr>
              <w:t>(3)</w:t>
            </w:r>
          </w:p>
        </w:tc>
        <w:tc>
          <w:tcPr>
            <w:tcW w:w="1235"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32"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不稳定</w:t>
            </w:r>
          </w:p>
        </w:tc>
        <w:tc>
          <w:tcPr>
            <w:tcW w:w="98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不</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93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7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35"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u w:val="single"/>
                <w:lang w:val="en-US" w:bidi="ar"/>
              </w:rPr>
              <w:t>43.89-66.2</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lang w:val="en-US" w:bidi="ar"/>
              </w:rPr>
              <w:t>50.47</w:t>
            </w:r>
          </w:p>
        </w:tc>
        <w:tc>
          <w:tcPr>
            <w:tcW w:w="932"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36" w:type="dxa"/>
            <w:vMerge w:val="restart"/>
            <w:tcBorders>
              <w:top w:val="nil"/>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16-1</w:t>
            </w:r>
          </w:p>
        </w:tc>
        <w:tc>
          <w:tcPr>
            <w:tcW w:w="1426"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1.30-5.33</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3.63</w:t>
            </w:r>
            <w:r>
              <w:rPr>
                <w:rFonts w:hint="eastAsia" w:ascii="Times New Roman" w:hAnsi="Times New Roman"/>
                <w:spacing w:val="-10"/>
                <w:kern w:val="2"/>
                <w:sz w:val="21"/>
                <w:szCs w:val="21"/>
                <w:lang w:val="en-US" w:bidi="ar"/>
              </w:rPr>
              <w:t>(</w:t>
            </w:r>
            <w:r>
              <w:rPr>
                <w:rFonts w:ascii="Times New Roman" w:hAnsi="Times New Roman" w:cs="Times New Roman"/>
                <w:spacing w:val="-10"/>
                <w:kern w:val="2"/>
                <w:sz w:val="21"/>
                <w:szCs w:val="21"/>
                <w:lang w:val="en-US" w:bidi="ar"/>
              </w:rPr>
              <w:t>13</w:t>
            </w:r>
            <w:r>
              <w:rPr>
                <w:rFonts w:hint="eastAsia" w:ascii="Times New Roman" w:hAnsi="Times New Roman"/>
                <w:spacing w:val="-10"/>
                <w:kern w:val="2"/>
                <w:sz w:val="21"/>
                <w:szCs w:val="21"/>
                <w:lang w:val="en-US" w:bidi="ar"/>
              </w:rPr>
              <w:t>)</w:t>
            </w:r>
          </w:p>
        </w:tc>
        <w:tc>
          <w:tcPr>
            <w:tcW w:w="1279"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1.33</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4.55</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3.08</w:t>
            </w:r>
            <w:r>
              <w:rPr>
                <w:rFonts w:hint="eastAsia" w:ascii="Times New Roman" w:hAnsi="Times New Roman"/>
                <w:spacing w:val="-10"/>
                <w:kern w:val="2"/>
                <w:sz w:val="21"/>
                <w:szCs w:val="21"/>
                <w:lang w:val="en-US" w:bidi="ar"/>
              </w:rPr>
              <w:t>(13)</w:t>
            </w:r>
          </w:p>
        </w:tc>
        <w:tc>
          <w:tcPr>
            <w:tcW w:w="1235"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32"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较稳定</w:t>
            </w:r>
          </w:p>
        </w:tc>
        <w:tc>
          <w:tcPr>
            <w:tcW w:w="98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全区</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93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7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35"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u w:val="single"/>
                <w:lang w:val="en-US" w:bidi="ar"/>
              </w:rPr>
              <w:t>0.43-5.74</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2.86</w:t>
            </w:r>
          </w:p>
        </w:tc>
        <w:tc>
          <w:tcPr>
            <w:tcW w:w="932"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936" w:type="dxa"/>
            <w:vMerge w:val="restart"/>
            <w:tcBorders>
              <w:top w:val="nil"/>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16-2</w:t>
            </w:r>
          </w:p>
        </w:tc>
        <w:tc>
          <w:tcPr>
            <w:tcW w:w="1426"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hint="eastAsia" w:ascii="Times New Roman" w:hAnsi="Times New Roman"/>
                <w:spacing w:val="-10"/>
                <w:kern w:val="2"/>
                <w:sz w:val="21"/>
                <w:szCs w:val="21"/>
                <w:u w:val="single"/>
                <w:lang w:val="en-US" w:bidi="ar"/>
              </w:rPr>
              <w:t>0.</w:t>
            </w:r>
            <w:r>
              <w:rPr>
                <w:rFonts w:ascii="Times New Roman" w:hAnsi="Times New Roman" w:cs="Times New Roman"/>
                <w:spacing w:val="-10"/>
                <w:kern w:val="2"/>
                <w:sz w:val="21"/>
                <w:szCs w:val="21"/>
                <w:u w:val="single"/>
                <w:lang w:val="en-US" w:bidi="ar"/>
              </w:rPr>
              <w:t>99</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6.05</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2.26</w:t>
            </w:r>
            <w:r>
              <w:rPr>
                <w:rFonts w:hint="eastAsia" w:ascii="Times New Roman" w:hAnsi="Times New Roman"/>
                <w:spacing w:val="-10"/>
                <w:kern w:val="2"/>
                <w:sz w:val="21"/>
                <w:szCs w:val="21"/>
                <w:lang w:val="en-US" w:bidi="ar"/>
              </w:rPr>
              <w:t>(1</w:t>
            </w:r>
            <w:r>
              <w:rPr>
                <w:rFonts w:ascii="Times New Roman" w:hAnsi="Times New Roman" w:cs="Times New Roman"/>
                <w:spacing w:val="-10"/>
                <w:kern w:val="2"/>
                <w:sz w:val="21"/>
                <w:szCs w:val="21"/>
                <w:lang w:val="en-US" w:bidi="ar"/>
              </w:rPr>
              <w:t>3</w:t>
            </w:r>
            <w:r>
              <w:rPr>
                <w:rFonts w:hint="eastAsia" w:ascii="Times New Roman" w:hAnsi="Times New Roman"/>
                <w:spacing w:val="-10"/>
                <w:kern w:val="2"/>
                <w:sz w:val="21"/>
                <w:szCs w:val="21"/>
                <w:lang w:val="en-US" w:bidi="ar"/>
              </w:rPr>
              <w:t>)</w:t>
            </w:r>
          </w:p>
        </w:tc>
        <w:tc>
          <w:tcPr>
            <w:tcW w:w="1279"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0.99</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5.21</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1.86</w:t>
            </w:r>
            <w:r>
              <w:rPr>
                <w:rFonts w:hint="eastAsia" w:ascii="Times New Roman" w:hAnsi="Times New Roman"/>
                <w:spacing w:val="-10"/>
                <w:kern w:val="2"/>
                <w:sz w:val="21"/>
                <w:szCs w:val="21"/>
                <w:lang w:val="en-US" w:bidi="ar"/>
              </w:rPr>
              <w:t>(</w:t>
            </w:r>
            <w:r>
              <w:rPr>
                <w:rFonts w:ascii="Times New Roman" w:hAnsi="Times New Roman" w:cs="Times New Roman"/>
                <w:spacing w:val="-10"/>
                <w:kern w:val="2"/>
                <w:sz w:val="21"/>
                <w:szCs w:val="21"/>
                <w:lang w:val="en-US" w:bidi="ar"/>
              </w:rPr>
              <w:t>13</w:t>
            </w:r>
            <w:r>
              <w:rPr>
                <w:rFonts w:hint="eastAsia" w:ascii="Times New Roman" w:hAnsi="Times New Roman"/>
                <w:spacing w:val="-10"/>
                <w:kern w:val="2"/>
                <w:sz w:val="21"/>
                <w:szCs w:val="21"/>
                <w:lang w:val="en-US" w:bidi="ar"/>
              </w:rPr>
              <w:t>)</w:t>
            </w:r>
          </w:p>
        </w:tc>
        <w:tc>
          <w:tcPr>
            <w:tcW w:w="1235"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32"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较稳定</w:t>
            </w:r>
          </w:p>
        </w:tc>
        <w:tc>
          <w:tcPr>
            <w:tcW w:w="98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全区</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93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426"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79"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235" w:type="dxa"/>
            <w:vMerge w:val="restart"/>
            <w:tcBorders>
              <w:top w:val="nil"/>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rPr>
            </w:pPr>
            <w:r>
              <w:rPr>
                <w:rFonts w:ascii="Times New Roman" w:hAnsi="Times New Roman" w:cs="Times New Roman"/>
                <w:spacing w:val="-10"/>
                <w:kern w:val="2"/>
                <w:sz w:val="21"/>
                <w:szCs w:val="21"/>
                <w:u w:val="single"/>
                <w:lang w:val="en-US" w:bidi="ar"/>
              </w:rPr>
              <w:t>3.61-7.55</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5.25</w:t>
            </w:r>
          </w:p>
        </w:tc>
        <w:tc>
          <w:tcPr>
            <w:tcW w:w="932"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8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1078"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rPr>
            </w:pPr>
            <w:r>
              <w:rPr>
                <w:rFonts w:ascii="Times New Roman" w:hAnsi="Times New Roman" w:cs="Times New Roman"/>
                <w:kern w:val="2"/>
                <w:sz w:val="21"/>
                <w:szCs w:val="21"/>
                <w:lang w:val="en-US" w:bidi="ar"/>
              </w:rPr>
              <w:t>17</w:t>
            </w:r>
          </w:p>
        </w:tc>
        <w:tc>
          <w:tcPr>
            <w:tcW w:w="1426"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kern w:val="2"/>
                <w:sz w:val="21"/>
                <w:szCs w:val="21"/>
                <w:u w:val="single"/>
              </w:rPr>
            </w:pPr>
            <w:r>
              <w:rPr>
                <w:rFonts w:ascii="Times New Roman" w:hAnsi="Times New Roman" w:cs="Times New Roman"/>
                <w:kern w:val="2"/>
                <w:sz w:val="21"/>
                <w:szCs w:val="21"/>
                <w:u w:val="single"/>
                <w:lang w:val="en-US" w:bidi="ar"/>
              </w:rPr>
              <w:t>0.56</w:t>
            </w:r>
            <w:r>
              <w:rPr>
                <w:rFonts w:hint="eastAsia" w:ascii="Times New Roman" w:hAnsi="Times New Roman"/>
                <w:kern w:val="2"/>
                <w:sz w:val="21"/>
                <w:szCs w:val="21"/>
                <w:u w:val="single"/>
                <w:lang w:val="en-US" w:bidi="ar"/>
              </w:rPr>
              <w:t>-</w:t>
            </w:r>
            <w:r>
              <w:rPr>
                <w:rFonts w:ascii="Times New Roman" w:hAnsi="Times New Roman" w:cs="Times New Roman"/>
                <w:kern w:val="2"/>
                <w:sz w:val="21"/>
                <w:szCs w:val="21"/>
                <w:u w:val="single"/>
                <w:lang w:val="en-US" w:bidi="ar"/>
              </w:rPr>
              <w:t>2.99</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ascii="Times New Roman" w:hAnsi="Times New Roman" w:cs="Times New Roman"/>
                <w:kern w:val="2"/>
                <w:sz w:val="21"/>
                <w:szCs w:val="21"/>
                <w:lang w:val="en-US" w:bidi="ar"/>
              </w:rPr>
              <w:t>1.53</w:t>
            </w:r>
            <w:r>
              <w:rPr>
                <w:rFonts w:hint="eastAsia" w:ascii="Times New Roman" w:hAnsi="Times New Roman"/>
                <w:kern w:val="2"/>
                <w:sz w:val="21"/>
                <w:szCs w:val="21"/>
                <w:lang w:val="en-US" w:bidi="ar"/>
              </w:rPr>
              <w:t>(</w:t>
            </w:r>
            <w:r>
              <w:rPr>
                <w:rFonts w:ascii="Times New Roman" w:hAnsi="Times New Roman" w:cs="Times New Roman"/>
                <w:kern w:val="2"/>
                <w:sz w:val="21"/>
                <w:szCs w:val="21"/>
                <w:lang w:val="en-US" w:bidi="ar"/>
              </w:rPr>
              <w:t>13</w:t>
            </w:r>
            <w:r>
              <w:rPr>
                <w:rFonts w:hint="eastAsia" w:ascii="Times New Roman" w:hAnsi="Times New Roman"/>
                <w:kern w:val="2"/>
                <w:sz w:val="21"/>
                <w:szCs w:val="21"/>
                <w:lang w:val="en-US" w:bidi="ar"/>
              </w:rPr>
              <w:t>)</w:t>
            </w:r>
          </w:p>
        </w:tc>
        <w:tc>
          <w:tcPr>
            <w:tcW w:w="1279"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cs="Times New Roman"/>
                <w:spacing w:val="-10"/>
                <w:kern w:val="2"/>
                <w:sz w:val="21"/>
                <w:szCs w:val="21"/>
                <w:u w:val="single"/>
              </w:rPr>
            </w:pPr>
            <w:r>
              <w:rPr>
                <w:rFonts w:ascii="Times New Roman" w:hAnsi="Times New Roman" w:cs="Times New Roman"/>
                <w:spacing w:val="-10"/>
                <w:kern w:val="2"/>
                <w:sz w:val="21"/>
                <w:szCs w:val="21"/>
                <w:u w:val="single"/>
                <w:lang w:val="en-US" w:bidi="ar"/>
              </w:rPr>
              <w:t>0.70</w:t>
            </w:r>
            <w:r>
              <w:rPr>
                <w:rFonts w:hint="eastAsia" w:ascii="Times New Roman" w:hAnsi="Times New Roman"/>
                <w:spacing w:val="-10"/>
                <w:kern w:val="2"/>
                <w:sz w:val="21"/>
                <w:szCs w:val="21"/>
                <w:u w:val="single"/>
                <w:lang w:val="en-US" w:bidi="ar"/>
              </w:rPr>
              <w:t>-</w:t>
            </w:r>
            <w:r>
              <w:rPr>
                <w:rFonts w:ascii="Times New Roman" w:hAnsi="Times New Roman" w:cs="Times New Roman"/>
                <w:spacing w:val="-10"/>
                <w:kern w:val="2"/>
                <w:sz w:val="21"/>
                <w:szCs w:val="21"/>
                <w:u w:val="single"/>
                <w:lang w:val="en-US" w:bidi="ar"/>
              </w:rPr>
              <w:t>2.32</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spacing w:val="-10"/>
                <w:kern w:val="2"/>
                <w:sz w:val="21"/>
                <w:szCs w:val="21"/>
              </w:rPr>
            </w:pPr>
            <w:r>
              <w:rPr>
                <w:rFonts w:ascii="Times New Roman" w:hAnsi="Times New Roman" w:cs="Times New Roman"/>
                <w:spacing w:val="-10"/>
                <w:kern w:val="2"/>
                <w:sz w:val="21"/>
                <w:szCs w:val="21"/>
                <w:lang w:val="en-US" w:bidi="ar"/>
              </w:rPr>
              <w:t>1.42</w:t>
            </w:r>
            <w:r>
              <w:rPr>
                <w:rFonts w:hint="eastAsia" w:ascii="Times New Roman" w:hAnsi="Times New Roman"/>
                <w:spacing w:val="-10"/>
                <w:kern w:val="2"/>
                <w:sz w:val="21"/>
                <w:szCs w:val="21"/>
                <w:lang w:val="en-US" w:bidi="ar"/>
              </w:rPr>
              <w:t>(12)</w:t>
            </w:r>
          </w:p>
        </w:tc>
        <w:tc>
          <w:tcPr>
            <w:tcW w:w="1235" w:type="dxa"/>
            <w:vMerge w:val="continue"/>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textAlignment w:val="auto"/>
              <w:rPr>
                <w:rFonts w:ascii="Times New Roman" w:hAnsi="Times New Roman" w:cs="Times New Roman"/>
                <w:sz w:val="20"/>
                <w:szCs w:val="20"/>
              </w:rPr>
            </w:pPr>
          </w:p>
        </w:tc>
        <w:tc>
          <w:tcPr>
            <w:tcW w:w="932"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较稳定</w:t>
            </w:r>
          </w:p>
        </w:tc>
        <w:tc>
          <w:tcPr>
            <w:tcW w:w="988"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可靠</w:t>
            </w:r>
          </w:p>
        </w:tc>
        <w:tc>
          <w:tcPr>
            <w:tcW w:w="1078" w:type="dxa"/>
            <w:tcBorders>
              <w:top w:val="single" w:color="auto" w:sz="4" w:space="0"/>
              <w:left w:val="nil"/>
              <w:bottom w:val="single" w:color="auto" w:sz="4" w:space="0"/>
              <w:right w:val="single" w:color="auto" w:sz="4" w:space="0"/>
            </w:tcBorders>
            <w:shd w:val="clear" w:color="auto" w:fill="auto"/>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大部</w:t>
            </w:r>
          </w:p>
          <w:p>
            <w:pPr>
              <w:pStyle w:val="10"/>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ascii="Times New Roman" w:hAnsi="Times New Roman"/>
                <w:kern w:val="2"/>
                <w:sz w:val="21"/>
                <w:szCs w:val="21"/>
              </w:rPr>
            </w:pPr>
            <w:r>
              <w:rPr>
                <w:rFonts w:hint="eastAsia" w:ascii="Times New Roman" w:hAnsi="Times New Roman"/>
                <w:kern w:val="2"/>
                <w:sz w:val="21"/>
                <w:szCs w:val="21"/>
                <w:lang w:val="en-US" w:bidi="ar"/>
              </w:rPr>
              <w:t>可采</w:t>
            </w:r>
          </w:p>
        </w:tc>
      </w:tr>
    </w:tbl>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textAlignment w:val="auto"/>
        <w:rPr>
          <w:kern w:val="2"/>
          <w:sz w:val="30"/>
          <w:szCs w:val="30"/>
        </w:rPr>
      </w:pPr>
      <w:r>
        <w:rPr>
          <w:rFonts w:hint="eastAsia"/>
          <w:kern w:val="2"/>
          <w:sz w:val="30"/>
          <w:szCs w:val="30"/>
        </w:rPr>
        <w:t>二、矿区及周围社会经济概况</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lang w:val="en-US" w:bidi="ar"/>
        </w:rPr>
      </w:pPr>
      <w:r>
        <w:rPr>
          <w:rFonts w:hint="eastAsia"/>
          <w:kern w:val="2"/>
          <w:sz w:val="30"/>
          <w:szCs w:val="30"/>
          <w:lang w:val="en-US" w:bidi="ar"/>
        </w:rPr>
        <w:t>矿区附近人口较少，以农牧业为主业，经济基础薄弱。煤炭生产、加工产业的发展，带动了相关行业，对地方经济的发展起到了积极的促进作用。</w:t>
      </w:r>
    </w:p>
    <w:p>
      <w:pPr>
        <w:pStyle w:val="3"/>
        <w:pageBreakBefore w:val="0"/>
        <w:widowControl/>
        <w:kinsoku/>
        <w:wordWrap/>
        <w:overflowPunct/>
        <w:topLinePunct w:val="0"/>
        <w:autoSpaceDE w:val="0"/>
        <w:autoSpaceDN w:val="0"/>
        <w:bidi w:val="0"/>
        <w:adjustRightInd/>
        <w:snapToGrid/>
        <w:spacing w:before="0" w:after="0" w:line="600" w:lineRule="exact"/>
        <w:ind w:firstLine="602" w:firstLineChars="200"/>
        <w:jc w:val="center"/>
        <w:textAlignment w:val="auto"/>
        <w:rPr>
          <w:rFonts w:ascii="宋体" w:hAnsi="宋体" w:eastAsia="宋体"/>
          <w:color w:val="auto"/>
          <w:kern w:val="2"/>
          <w:sz w:val="30"/>
          <w:szCs w:val="30"/>
          <w:lang w:val="en-US" w:bidi="ar"/>
        </w:rPr>
      </w:pPr>
      <w:bookmarkStart w:id="25" w:name="_Toc217874207"/>
      <w:bookmarkEnd w:id="25"/>
      <w:bookmarkStart w:id="26" w:name="_Toc6455"/>
      <w:r>
        <w:rPr>
          <w:rFonts w:hint="eastAsia" w:ascii="宋体" w:hAnsi="宋体" w:eastAsia="宋体"/>
          <w:b/>
          <w:color w:val="auto"/>
          <w:sz w:val="30"/>
          <w:szCs w:val="30"/>
        </w:rPr>
        <w:t>第四节 矿山开发方案概述</w:t>
      </w:r>
      <w:bookmarkEnd w:id="26"/>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textAlignment w:val="auto"/>
        <w:rPr>
          <w:sz w:val="30"/>
          <w:szCs w:val="30"/>
        </w:rPr>
      </w:pPr>
      <w:r>
        <w:rPr>
          <w:rFonts w:hint="eastAsia"/>
          <w:sz w:val="30"/>
          <w:szCs w:val="30"/>
        </w:rPr>
        <w:t>一、矿区范围、矿山生产规模、服务年限</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1、矿区范围</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lang w:val="en-US" w:bidi="ar"/>
        </w:rPr>
      </w:pPr>
      <w:r>
        <w:rPr>
          <w:rFonts w:hint="eastAsia"/>
          <w:kern w:val="2"/>
          <w:sz w:val="30"/>
          <w:szCs w:val="30"/>
          <w:lang w:val="en-US" w:bidi="ar"/>
        </w:rPr>
        <w:t>内蒙古乌海市万晨能源煤炭有限责任公司</w:t>
      </w:r>
      <w:r>
        <w:rPr>
          <w:rFonts w:hint="eastAsia"/>
          <w:color w:val="0000FF"/>
          <w:kern w:val="2"/>
          <w:sz w:val="30"/>
          <w:szCs w:val="30"/>
          <w:lang w:val="en-US" w:bidi="ar"/>
        </w:rPr>
        <w:t>龙</w:t>
      </w:r>
      <w:r>
        <w:rPr>
          <w:rFonts w:hint="eastAsia"/>
          <w:color w:val="0000FF"/>
          <w:kern w:val="2"/>
          <w:sz w:val="30"/>
          <w:szCs w:val="30"/>
          <w:lang w:val="en-US" w:eastAsia="zh-CN" w:bidi="ar"/>
        </w:rPr>
        <w:t>贵</w:t>
      </w:r>
      <w:r>
        <w:rPr>
          <w:rFonts w:hint="eastAsia"/>
          <w:kern w:val="2"/>
          <w:sz w:val="30"/>
          <w:szCs w:val="30"/>
          <w:lang w:val="en-US" w:bidi="ar"/>
        </w:rPr>
        <w:t>煤矿采矿许可证由内蒙古自治区国土资源厅颁发, 采矿许可证证号：C1500002010021120056462；有效期自 2020年9月30日至2021年9月 30日；开采矿种：煤；开采方式：地下开采；生产规模：45万吨/年；矿山开采范围由9个拐点圈定，面积为1.7772km2，开采标高由1120至920m。矿区范围拐点坐标见表1-2。</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2、生产规模及服务年限</w:t>
      </w:r>
    </w:p>
    <w:p>
      <w:pPr>
        <w:pageBreakBefore w:val="0"/>
        <w:kinsoku/>
        <w:wordWrap/>
        <w:overflowPunct/>
        <w:topLinePunct w:val="0"/>
        <w:autoSpaceDE w:val="0"/>
        <w:autoSpaceDN w:val="0"/>
        <w:bidi w:val="0"/>
        <w:adjustRightInd/>
        <w:snapToGrid/>
        <w:spacing w:line="600" w:lineRule="exact"/>
        <w:ind w:firstLine="616" w:firstLineChars="200"/>
        <w:jc w:val="both"/>
        <w:textAlignment w:val="auto"/>
        <w:rPr>
          <w:kern w:val="2"/>
          <w:sz w:val="30"/>
          <w:szCs w:val="30"/>
        </w:rPr>
      </w:pPr>
      <w:r>
        <w:rPr>
          <w:rFonts w:hint="eastAsia"/>
          <w:spacing w:val="4"/>
          <w:kern w:val="2"/>
          <w:sz w:val="30"/>
          <w:szCs w:val="30"/>
          <w:lang w:val="en-US" w:bidi="ar"/>
        </w:rPr>
        <w:t>根据本矿山的《可行性研究报告》，确定矿山生产规模为45万吨</w:t>
      </w:r>
      <w:r>
        <w:rPr>
          <w:rFonts w:hint="eastAsia"/>
          <w:kern w:val="2"/>
          <w:sz w:val="30"/>
          <w:szCs w:val="30"/>
          <w:lang w:val="en-US" w:bidi="ar"/>
        </w:rPr>
        <w:t>/年。服务年限为23.5年。</w:t>
      </w:r>
    </w:p>
    <w:p>
      <w:pPr>
        <w:ind w:firstLine="596" w:firstLineChars="198"/>
        <w:jc w:val="center"/>
        <w:rPr>
          <w:kern w:val="2"/>
          <w:sz w:val="24"/>
          <w:szCs w:val="24"/>
        </w:rPr>
      </w:pPr>
      <w:r>
        <w:rPr>
          <w:rFonts w:hint="eastAsia"/>
          <w:b/>
          <w:kern w:val="2"/>
          <w:sz w:val="30"/>
          <w:szCs w:val="30"/>
          <w:lang w:val="en-US" w:bidi="ar"/>
        </w:rPr>
        <w:t xml:space="preserve">         矿区范围拐点坐标表           </w:t>
      </w:r>
      <w:r>
        <w:rPr>
          <w:rFonts w:hint="eastAsia"/>
          <w:kern w:val="2"/>
          <w:sz w:val="24"/>
          <w:szCs w:val="24"/>
          <w:lang w:val="en-US" w:bidi="ar"/>
        </w:rPr>
        <w:t>表1-2</w:t>
      </w:r>
    </w:p>
    <w:tbl>
      <w:tblPr>
        <w:tblStyle w:val="12"/>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738"/>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拐点编号</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X</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1</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4369580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2</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4369440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4369530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4369430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5</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4369030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6</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4368500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7</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4368500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8</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4367910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9</w:t>
            </w:r>
          </w:p>
        </w:tc>
        <w:tc>
          <w:tcPr>
            <w:tcW w:w="273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4367910</w:t>
            </w:r>
          </w:p>
        </w:tc>
        <w:tc>
          <w:tcPr>
            <w:tcW w:w="32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kern w:val="2"/>
                <w:sz w:val="24"/>
                <w:szCs w:val="24"/>
              </w:rPr>
            </w:pPr>
            <w:r>
              <w:rPr>
                <w:rFonts w:hint="eastAsia"/>
                <w:kern w:val="2"/>
                <w:sz w:val="24"/>
                <w:szCs w:val="24"/>
                <w:lang w:val="en-US" w:bidi="ar"/>
              </w:rPr>
              <w:t>36407250</w:t>
            </w:r>
          </w:p>
        </w:tc>
      </w:tr>
    </w:tbl>
    <w:p>
      <w:pPr>
        <w:pStyle w:val="4"/>
        <w:widowControl/>
        <w:spacing w:before="0" w:after="0"/>
        <w:ind w:firstLine="472" w:firstLineChars="196"/>
        <w:outlineLvl w:val="9"/>
        <w:rPr>
          <w:kern w:val="2"/>
          <w:szCs w:val="24"/>
        </w:rPr>
      </w:pPr>
      <w:r>
        <w:rPr>
          <w:rFonts w:hint="eastAsia"/>
          <w:kern w:val="2"/>
          <w:szCs w:val="24"/>
        </w:rPr>
        <w:t xml:space="preserve"> </w:t>
      </w:r>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textAlignment w:val="auto"/>
        <w:rPr>
          <w:kern w:val="2"/>
          <w:sz w:val="30"/>
          <w:szCs w:val="30"/>
        </w:rPr>
      </w:pPr>
      <w:r>
        <w:rPr>
          <w:rFonts w:hint="eastAsia"/>
          <w:kern w:val="2"/>
          <w:sz w:val="30"/>
          <w:szCs w:val="30"/>
        </w:rPr>
        <w:t>二、矿山开采方式、开拓方式、采矿方法、工业场地、主要废弃物类型及处置情况</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1、采区的划分</w:t>
      </w:r>
    </w:p>
    <w:p>
      <w:pPr>
        <w:pStyle w:val="10"/>
        <w:pageBreakBefore w:val="0"/>
        <w:kinsoku/>
        <w:wordWrap/>
        <w:overflowPunct/>
        <w:topLinePunct w:val="0"/>
        <w:autoSpaceDE w:val="0"/>
        <w:autoSpaceDN w:val="0"/>
        <w:bidi w:val="0"/>
        <w:adjustRightInd/>
        <w:snapToGrid/>
        <w:spacing w:line="600" w:lineRule="exact"/>
        <w:ind w:firstLine="584" w:firstLineChars="200"/>
        <w:textAlignment w:val="auto"/>
        <w:rPr>
          <w:rFonts w:ascii="Times New Roman" w:hAnsi="Times New Roman"/>
          <w:spacing w:val="-4"/>
          <w:kern w:val="2"/>
          <w:sz w:val="30"/>
          <w:szCs w:val="30"/>
        </w:rPr>
      </w:pPr>
      <w:r>
        <w:rPr>
          <w:rFonts w:hint="eastAsia"/>
          <w:spacing w:val="-4"/>
          <w:kern w:val="2"/>
          <w:sz w:val="30"/>
          <w:szCs w:val="30"/>
          <w:lang w:val="en-US" w:bidi="ar"/>
        </w:rPr>
        <w:t>龙贵煤矿井田面积约</w:t>
      </w:r>
      <w:r>
        <w:rPr>
          <w:rFonts w:ascii="Times New Roman" w:hAnsi="Times New Roman" w:cs="Times New Roman"/>
          <w:spacing w:val="-4"/>
          <w:kern w:val="2"/>
          <w:sz w:val="30"/>
          <w:szCs w:val="30"/>
          <w:lang w:val="en-US" w:bidi="ar"/>
        </w:rPr>
        <w:t>1.7</w:t>
      </w:r>
      <w:r>
        <w:rPr>
          <w:rFonts w:hint="eastAsia" w:ascii="Times New Roman" w:hAnsi="Times New Roman"/>
          <w:spacing w:val="-4"/>
          <w:kern w:val="2"/>
          <w:sz w:val="30"/>
          <w:szCs w:val="30"/>
          <w:lang w:val="en-US" w:bidi="ar"/>
        </w:rPr>
        <w:t>772</w:t>
      </w:r>
      <w:r>
        <w:rPr>
          <w:rFonts w:ascii="Times New Roman" w:hAnsi="Times New Roman" w:cs="Times New Roman"/>
          <w:spacing w:val="-4"/>
          <w:kern w:val="2"/>
          <w:sz w:val="30"/>
          <w:szCs w:val="30"/>
          <w:lang w:val="en-US" w:bidi="ar"/>
        </w:rPr>
        <w:t>km</w:t>
      </w:r>
      <w:r>
        <w:rPr>
          <w:rFonts w:ascii="Times New Roman" w:hAnsi="Times New Roman" w:cs="Times New Roman"/>
          <w:spacing w:val="-4"/>
          <w:kern w:val="2"/>
          <w:sz w:val="30"/>
          <w:szCs w:val="30"/>
          <w:vertAlign w:val="superscript"/>
          <w:lang w:val="en-US" w:bidi="ar"/>
        </w:rPr>
        <w:t>2</w:t>
      </w:r>
      <w:r>
        <w:rPr>
          <w:rFonts w:hint="eastAsia"/>
          <w:spacing w:val="-4"/>
          <w:kern w:val="2"/>
          <w:sz w:val="30"/>
          <w:szCs w:val="30"/>
          <w:lang w:val="en-US" w:bidi="ar"/>
        </w:rPr>
        <w:t>，扣除副井、风井工业场地煤柱，主井井筒保护煤柱，鄂海公路保护煤柱后，实际可供布置回采工作面的开采范围仅</w:t>
      </w:r>
      <w:r>
        <w:rPr>
          <w:rFonts w:hint="eastAsia" w:ascii="Times New Roman" w:hAnsi="Times New Roman"/>
          <w:spacing w:val="-4"/>
          <w:kern w:val="2"/>
          <w:sz w:val="30"/>
          <w:szCs w:val="30"/>
          <w:lang w:val="en-US" w:bidi="ar"/>
        </w:rPr>
        <w:t>1</w:t>
      </w:r>
      <w:r>
        <w:rPr>
          <w:rFonts w:ascii="Times New Roman" w:hAnsi="Times New Roman" w:cs="Times New Roman"/>
          <w:spacing w:val="-4"/>
          <w:kern w:val="2"/>
          <w:sz w:val="30"/>
          <w:szCs w:val="30"/>
          <w:lang w:val="en-US" w:bidi="ar"/>
        </w:rPr>
        <w:t xml:space="preserve"> km</w:t>
      </w:r>
      <w:r>
        <w:rPr>
          <w:rFonts w:ascii="Times New Roman" w:hAnsi="Times New Roman" w:cs="Times New Roman"/>
          <w:spacing w:val="-4"/>
          <w:kern w:val="2"/>
          <w:sz w:val="30"/>
          <w:szCs w:val="30"/>
          <w:vertAlign w:val="superscript"/>
          <w:lang w:val="en-US" w:bidi="ar"/>
        </w:rPr>
        <w:t>2</w:t>
      </w:r>
      <w:r>
        <w:rPr>
          <w:rFonts w:hint="eastAsia"/>
          <w:spacing w:val="-4"/>
          <w:kern w:val="2"/>
          <w:sz w:val="30"/>
          <w:szCs w:val="30"/>
          <w:lang w:val="en-US" w:bidi="ar"/>
        </w:rPr>
        <w:t>左右，根据井田内上、下二个煤组相距约</w:t>
      </w:r>
      <w:r>
        <w:rPr>
          <w:rFonts w:hint="eastAsia" w:ascii="Times New Roman" w:hAnsi="Times New Roman"/>
          <w:spacing w:val="-4"/>
          <w:kern w:val="2"/>
          <w:sz w:val="30"/>
          <w:szCs w:val="30"/>
          <w:lang w:val="en-US" w:bidi="ar"/>
        </w:rPr>
        <w:t>60</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70m</w:t>
      </w:r>
      <w:r>
        <w:rPr>
          <w:rFonts w:hint="eastAsia"/>
          <w:spacing w:val="-4"/>
          <w:kern w:val="2"/>
          <w:sz w:val="30"/>
          <w:szCs w:val="30"/>
          <w:lang w:val="en-US" w:bidi="ar"/>
        </w:rPr>
        <w:t>左右，且煤层倾角平缓的特定条件，设计按分组联合布置的方式，确定将井田划分为二个采区，即上煤组采区（开采</w:t>
      </w:r>
      <w:r>
        <w:rPr>
          <w:rFonts w:hint="eastAsia" w:ascii="Times New Roman" w:hAnsi="Times New Roman"/>
          <w:spacing w:val="-4"/>
          <w:kern w:val="2"/>
          <w:sz w:val="30"/>
          <w:szCs w:val="30"/>
          <w:lang w:val="en-US" w:bidi="ar"/>
        </w:rPr>
        <w:t>8-1</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9-2</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9-3</w:t>
      </w:r>
      <w:r>
        <w:rPr>
          <w:rFonts w:hint="eastAsia"/>
          <w:spacing w:val="-4"/>
          <w:kern w:val="2"/>
          <w:sz w:val="30"/>
          <w:szCs w:val="30"/>
          <w:lang w:val="en-US" w:bidi="ar"/>
        </w:rPr>
        <w:t>煤层）和下煤组采区（开采</w:t>
      </w:r>
      <w:r>
        <w:rPr>
          <w:rFonts w:ascii="Times New Roman" w:hAnsi="Times New Roman" w:cs="Times New Roman"/>
          <w:spacing w:val="-4"/>
          <w:kern w:val="2"/>
          <w:sz w:val="30"/>
          <w:szCs w:val="30"/>
          <w:lang w:val="en-US" w:bidi="ar"/>
        </w:rPr>
        <w:t>16-1</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16-2</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17</w:t>
      </w:r>
      <w:r>
        <w:rPr>
          <w:rFonts w:hint="eastAsia"/>
          <w:spacing w:val="-4"/>
          <w:kern w:val="2"/>
          <w:sz w:val="30"/>
          <w:szCs w:val="30"/>
          <w:lang w:val="en-US" w:bidi="ar"/>
        </w:rPr>
        <w:t>煤层）。上、下二个采区各采三个近距离煤层，其开采顺序在采区范围内，上组煤煤层开采顺序为</w:t>
      </w:r>
      <w:r>
        <w:rPr>
          <w:rFonts w:ascii="Times New Roman" w:hAnsi="Times New Roman" w:cs="Times New Roman"/>
          <w:spacing w:val="-4"/>
          <w:kern w:val="2"/>
          <w:sz w:val="30"/>
          <w:szCs w:val="30"/>
          <w:lang w:val="en-US" w:bidi="ar"/>
        </w:rPr>
        <w:t>8-1</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9-2</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9-3</w:t>
      </w:r>
      <w:r>
        <w:rPr>
          <w:rFonts w:hint="eastAsia"/>
          <w:spacing w:val="-4"/>
          <w:kern w:val="2"/>
          <w:sz w:val="30"/>
          <w:szCs w:val="30"/>
          <w:lang w:val="en-US" w:bidi="ar"/>
        </w:rPr>
        <w:t>煤，下组煤煤层开采顺序为</w:t>
      </w:r>
      <w:r>
        <w:rPr>
          <w:rFonts w:ascii="Times New Roman" w:hAnsi="Times New Roman" w:cs="Times New Roman"/>
          <w:spacing w:val="-4"/>
          <w:kern w:val="2"/>
          <w:sz w:val="30"/>
          <w:szCs w:val="30"/>
          <w:lang w:val="en-US" w:bidi="ar"/>
        </w:rPr>
        <w:t>16-1</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16-2</w:t>
      </w:r>
      <w:r>
        <w:rPr>
          <w:rFonts w:hint="eastAsia"/>
          <w:spacing w:val="-4"/>
          <w:kern w:val="2"/>
          <w:sz w:val="30"/>
          <w:szCs w:val="30"/>
          <w:lang w:val="en-US" w:bidi="ar"/>
        </w:rPr>
        <w:t>→</w:t>
      </w:r>
      <w:r>
        <w:rPr>
          <w:rFonts w:ascii="Times New Roman" w:hAnsi="Times New Roman" w:cs="Times New Roman"/>
          <w:spacing w:val="-4"/>
          <w:kern w:val="2"/>
          <w:sz w:val="30"/>
          <w:szCs w:val="30"/>
          <w:lang w:val="en-US" w:bidi="ar"/>
        </w:rPr>
        <w:t>17</w:t>
      </w:r>
      <w:r>
        <w:rPr>
          <w:rFonts w:hint="eastAsia"/>
          <w:spacing w:val="-4"/>
          <w:kern w:val="2"/>
          <w:sz w:val="30"/>
          <w:szCs w:val="30"/>
          <w:lang w:val="en-US" w:bidi="ar"/>
        </w:rPr>
        <w:t>煤。</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2、矿床的开采方式</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矿区工程地质结构为松散岩类区和块状结构区。矿床及围岩均由块状、层状岩层组成，力学强度高，整体岩石稳定性强，构造破碎带不发育。</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分析矿体赋存情况、开采技术条件及矿山探矿工程布置情况等因素，经计算露天开采剥采比约为15以上，远远大于经济合理剥采比，所以比较后认为采用地下开采方式开采比较合理。</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3、开拓方式</w:t>
      </w:r>
    </w:p>
    <w:p>
      <w:pPr>
        <w:pStyle w:val="10"/>
        <w:pageBreakBefore w:val="0"/>
        <w:kinsoku/>
        <w:wordWrap/>
        <w:overflowPunct/>
        <w:topLinePunct w:val="0"/>
        <w:autoSpaceDE w:val="0"/>
        <w:autoSpaceDN w:val="0"/>
        <w:bidi w:val="0"/>
        <w:adjustRightInd/>
        <w:snapToGrid/>
        <w:spacing w:line="600" w:lineRule="exact"/>
        <w:ind w:firstLine="600" w:firstLineChars="200"/>
        <w:textAlignment w:val="auto"/>
        <w:rPr>
          <w:kern w:val="2"/>
          <w:sz w:val="30"/>
          <w:szCs w:val="30"/>
        </w:rPr>
      </w:pPr>
      <w:r>
        <w:rPr>
          <w:rFonts w:hint="eastAsia"/>
          <w:kern w:val="2"/>
          <w:sz w:val="30"/>
          <w:szCs w:val="30"/>
          <w:lang w:val="en-US" w:bidi="ar"/>
        </w:rPr>
        <w:t>根据该井井田地质、水文地质、工程地质条件，煤层赋存深度及其开采条件，并综合考虑建井工程量，提升系统设备选型，施工技术条件和安全生产等诸方面因素后，确定采用斜井和立井综合开拓方式。即矿井以主井（立井）、副斜井和中央风井（立井）两立一斜的开拓方式。从该井上、下两个煤组煤种不同、含硫量不同等因素考虑，按分采分运的方式，上煤组煤炭通过副斜井串车提升提到地面，下煤组煤炭通过主井（立井）箕斗提升提到地面。</w:t>
      </w:r>
    </w:p>
    <w:p>
      <w:pPr>
        <w:pStyle w:val="10"/>
        <w:pageBreakBefore w:val="0"/>
        <w:kinsoku/>
        <w:wordWrap/>
        <w:overflowPunct/>
        <w:topLinePunct w:val="0"/>
        <w:autoSpaceDE w:val="0"/>
        <w:autoSpaceDN w:val="0"/>
        <w:bidi w:val="0"/>
        <w:adjustRightInd/>
        <w:snapToGrid/>
        <w:spacing w:line="600" w:lineRule="exact"/>
        <w:ind w:firstLine="600" w:firstLineChars="200"/>
        <w:textAlignment w:val="auto"/>
        <w:rPr>
          <w:rFonts w:ascii="Times New Roman" w:hAnsi="Times New Roman"/>
          <w:kern w:val="2"/>
          <w:sz w:val="30"/>
          <w:szCs w:val="30"/>
        </w:rPr>
      </w:pPr>
      <w:r>
        <w:rPr>
          <w:rFonts w:hint="eastAsia"/>
          <w:kern w:val="2"/>
          <w:sz w:val="30"/>
          <w:szCs w:val="30"/>
          <w:lang w:val="en-US" w:bidi="ar"/>
        </w:rPr>
        <w:t>根据煤层的赋存条件，矿井开拓巷道按照上组煤和下组煤分煤组进行布置，上、下煤组均布置有分组的运输和回风巷道，井下分煤组煤层巷道布置方式为东西向布置，东西向布置煤层分组运输巷和回风巷可使煤层分组巷道的服务范围大，固定设备安装后使用期限也长。</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4、采矿方法</w:t>
      </w:r>
    </w:p>
    <w:p>
      <w:pPr>
        <w:pStyle w:val="10"/>
        <w:pageBreakBefore w:val="0"/>
        <w:kinsoku/>
        <w:wordWrap/>
        <w:overflowPunct/>
        <w:topLinePunct w:val="0"/>
        <w:autoSpaceDE w:val="0"/>
        <w:autoSpaceDN w:val="0"/>
        <w:bidi w:val="0"/>
        <w:adjustRightInd/>
        <w:snapToGrid/>
        <w:spacing w:line="600" w:lineRule="exact"/>
        <w:ind w:firstLine="576" w:firstLineChars="200"/>
        <w:textAlignment w:val="auto"/>
        <w:rPr>
          <w:rFonts w:ascii="Times New Roman" w:hAnsi="Times New Roman"/>
          <w:spacing w:val="-6"/>
          <w:kern w:val="2"/>
          <w:sz w:val="30"/>
          <w:szCs w:val="30"/>
        </w:rPr>
      </w:pPr>
      <w:r>
        <w:rPr>
          <w:rFonts w:hint="eastAsia"/>
          <w:spacing w:val="-6"/>
          <w:kern w:val="2"/>
          <w:sz w:val="30"/>
          <w:szCs w:val="30"/>
          <w:lang w:val="en-US" w:bidi="ar"/>
        </w:rPr>
        <w:t>该井开采的煤层为近水平煤，根据井田的形状，设计在开拓、开采的巷道布置上，开拓巷道（也是采区巷道）采用了伪倾斜布置，其倾斜坡度约</w:t>
      </w:r>
      <w:r>
        <w:rPr>
          <w:rFonts w:hint="eastAsia" w:ascii="Times New Roman" w:hAnsi="Times New Roman"/>
          <w:spacing w:val="-6"/>
          <w:kern w:val="2"/>
          <w:sz w:val="30"/>
          <w:szCs w:val="30"/>
          <w:lang w:val="en-US" w:bidi="ar"/>
        </w:rPr>
        <w:t>30</w:t>
      </w:r>
      <w:r>
        <w:rPr>
          <w:rFonts w:hint="eastAsia"/>
          <w:spacing w:val="-6"/>
          <w:kern w:val="2"/>
          <w:sz w:val="30"/>
          <w:szCs w:val="30"/>
          <w:lang w:val="en-US" w:bidi="ar"/>
        </w:rPr>
        <w:t>‰左右（</w:t>
      </w:r>
      <w:r>
        <w:rPr>
          <w:rFonts w:ascii="Times New Roman" w:hAnsi="Times New Roman" w:cs="Times New Roman"/>
          <w:spacing w:val="-6"/>
          <w:kern w:val="2"/>
          <w:sz w:val="30"/>
          <w:szCs w:val="30"/>
          <w:lang w:val="en-US" w:bidi="ar"/>
        </w:rPr>
        <w:t>1.5</w:t>
      </w:r>
      <w:r>
        <w:rPr>
          <w:rFonts w:hint="eastAsia"/>
          <w:spacing w:val="-6"/>
          <w:kern w:val="2"/>
          <w:sz w:val="30"/>
          <w:szCs w:val="30"/>
          <w:lang w:val="en-US" w:bidi="ar"/>
        </w:rPr>
        <w:t>～</w:t>
      </w:r>
      <w:r>
        <w:rPr>
          <w:rFonts w:ascii="Times New Roman" w:hAnsi="Times New Roman" w:cs="Times New Roman"/>
          <w:spacing w:val="-6"/>
          <w:kern w:val="2"/>
          <w:sz w:val="30"/>
          <w:szCs w:val="30"/>
          <w:lang w:val="en-US" w:bidi="ar"/>
        </w:rPr>
        <w:t>2.0</w:t>
      </w:r>
      <w:r>
        <w:rPr>
          <w:rFonts w:hint="eastAsia"/>
          <w:spacing w:val="-6"/>
          <w:kern w:val="2"/>
          <w:sz w:val="30"/>
          <w:szCs w:val="30"/>
          <w:lang w:val="en-US" w:bidi="ar"/>
        </w:rPr>
        <w:t>度），采煤方法采用在开拓巷道两侧以倾斜（或伪倾斜）长壁机采工作面开采。其回采工作面长度为</w:t>
      </w:r>
      <w:r>
        <w:rPr>
          <w:rFonts w:hint="eastAsia" w:ascii="Times New Roman" w:hAnsi="Times New Roman"/>
          <w:spacing w:val="-6"/>
          <w:kern w:val="2"/>
          <w:sz w:val="30"/>
          <w:szCs w:val="30"/>
          <w:lang w:val="en-US" w:bidi="ar"/>
        </w:rPr>
        <w:t>120</w:t>
      </w:r>
      <w:r>
        <w:rPr>
          <w:rFonts w:ascii="Times New Roman" w:hAnsi="Times New Roman" w:cs="Times New Roman"/>
          <w:spacing w:val="-6"/>
          <w:kern w:val="2"/>
          <w:sz w:val="30"/>
          <w:szCs w:val="30"/>
          <w:lang w:val="en-US" w:bidi="ar"/>
        </w:rPr>
        <w:t>m</w:t>
      </w:r>
      <w:r>
        <w:rPr>
          <w:rFonts w:hint="eastAsia"/>
          <w:spacing w:val="-6"/>
          <w:kern w:val="2"/>
          <w:sz w:val="30"/>
          <w:szCs w:val="30"/>
          <w:lang w:val="en-US" w:bidi="ar"/>
        </w:rPr>
        <w:t>。</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5、工业广场</w:t>
      </w:r>
    </w:p>
    <w:p>
      <w:pPr>
        <w:pStyle w:val="10"/>
        <w:pageBreakBefore w:val="0"/>
        <w:kinsoku/>
        <w:wordWrap/>
        <w:overflowPunct/>
        <w:topLinePunct w:val="0"/>
        <w:autoSpaceDE w:val="0"/>
        <w:autoSpaceDN w:val="0"/>
        <w:bidi w:val="0"/>
        <w:adjustRightInd/>
        <w:snapToGrid/>
        <w:spacing w:line="600" w:lineRule="exact"/>
        <w:ind w:firstLine="600" w:firstLineChars="200"/>
        <w:textAlignment w:val="auto"/>
        <w:rPr>
          <w:rFonts w:ascii="Times New Roman" w:hAnsi="Times New Roman"/>
          <w:kern w:val="2"/>
          <w:sz w:val="30"/>
          <w:szCs w:val="30"/>
        </w:rPr>
      </w:pPr>
      <w:r>
        <w:rPr>
          <w:rFonts w:hint="eastAsia"/>
          <w:kern w:val="2"/>
          <w:sz w:val="30"/>
          <w:szCs w:val="30"/>
          <w:lang w:val="en-US" w:bidi="ar"/>
        </w:rPr>
        <w:t>该井三条井筒的井口位置分设在两处，根据井筒的功能不同，两处各设置相应设施的工业场地。副井和中央风井井口位置位于井田的中南部，在纬距</w:t>
      </w:r>
      <w:r>
        <w:rPr>
          <w:rFonts w:hint="eastAsia" w:ascii="Times New Roman" w:hAnsi="Times New Roman"/>
          <w:kern w:val="2"/>
          <w:sz w:val="30"/>
          <w:szCs w:val="30"/>
          <w:lang w:val="en-US" w:bidi="ar"/>
        </w:rPr>
        <w:t>X=4368500</w:t>
      </w:r>
      <w:r>
        <w:rPr>
          <w:rFonts w:hint="eastAsia"/>
          <w:kern w:val="2"/>
          <w:sz w:val="30"/>
          <w:szCs w:val="30"/>
          <w:lang w:val="en-US" w:bidi="ar"/>
        </w:rPr>
        <w:t>和经距</w:t>
      </w:r>
      <w:r>
        <w:rPr>
          <w:rFonts w:ascii="Times New Roman" w:hAnsi="Times New Roman" w:cs="Times New Roman"/>
          <w:kern w:val="2"/>
          <w:sz w:val="30"/>
          <w:szCs w:val="30"/>
          <w:lang w:val="en-US" w:bidi="ar"/>
        </w:rPr>
        <w:t>Y=36408000</w:t>
      </w:r>
      <w:r>
        <w:rPr>
          <w:rFonts w:hint="eastAsia"/>
          <w:kern w:val="2"/>
          <w:sz w:val="30"/>
          <w:szCs w:val="30"/>
          <w:lang w:val="en-US" w:bidi="ar"/>
        </w:rPr>
        <w:t>交汇处的南西向</w:t>
      </w:r>
      <w:r>
        <w:rPr>
          <w:rFonts w:ascii="Times New Roman" w:hAnsi="Times New Roman" w:cs="Times New Roman"/>
          <w:kern w:val="2"/>
          <w:sz w:val="30"/>
          <w:szCs w:val="30"/>
          <w:lang w:val="en-US" w:bidi="ar"/>
        </w:rPr>
        <w:t>70</w:t>
      </w:r>
      <w:r>
        <w:rPr>
          <w:rFonts w:hint="eastAsia"/>
          <w:kern w:val="2"/>
          <w:sz w:val="30"/>
          <w:szCs w:val="30"/>
          <w:lang w:val="en-US" w:bidi="ar"/>
        </w:rPr>
        <w:t>～</w:t>
      </w:r>
      <w:r>
        <w:rPr>
          <w:rFonts w:ascii="Times New Roman" w:hAnsi="Times New Roman" w:cs="Times New Roman"/>
          <w:kern w:val="2"/>
          <w:sz w:val="30"/>
          <w:szCs w:val="30"/>
          <w:lang w:val="en-US" w:bidi="ar"/>
        </w:rPr>
        <w:t>100m</w:t>
      </w:r>
      <w:r>
        <w:rPr>
          <w:rFonts w:hint="eastAsia"/>
          <w:kern w:val="2"/>
          <w:sz w:val="30"/>
          <w:szCs w:val="30"/>
          <w:lang w:val="en-US" w:bidi="ar"/>
        </w:rPr>
        <w:t>附近，井口高程和副井工业场地平场标高均为</w:t>
      </w:r>
      <w:r>
        <w:rPr>
          <w:rFonts w:hint="eastAsia" w:ascii="Times New Roman" w:hAnsi="Times New Roman"/>
          <w:kern w:val="2"/>
          <w:sz w:val="30"/>
          <w:szCs w:val="30"/>
          <w:lang w:val="en-US" w:bidi="ar"/>
        </w:rPr>
        <w:t>+1264</w:t>
      </w:r>
      <w:r>
        <w:rPr>
          <w:rFonts w:ascii="Times New Roman" w:hAnsi="Times New Roman" w:cs="Times New Roman"/>
          <w:kern w:val="2"/>
          <w:sz w:val="30"/>
          <w:szCs w:val="30"/>
          <w:lang w:val="en-US" w:bidi="ar"/>
        </w:rPr>
        <w:t>m</w:t>
      </w:r>
      <w:r>
        <w:rPr>
          <w:rFonts w:hint="eastAsia"/>
          <w:kern w:val="2"/>
          <w:sz w:val="30"/>
          <w:szCs w:val="30"/>
          <w:lang w:val="en-US" w:bidi="ar"/>
        </w:rPr>
        <w:t>，场地内布置有副井提升系统、主扇风机房、灯房浴室、办公楼、食堂等生产和生活设施，主斜井井口位置位于井田的北部，在鄂海公路南</w:t>
      </w:r>
      <w:r>
        <w:rPr>
          <w:rFonts w:hint="eastAsia" w:ascii="Times New Roman" w:hAnsi="Times New Roman"/>
          <w:kern w:val="2"/>
          <w:sz w:val="30"/>
          <w:szCs w:val="30"/>
          <w:lang w:val="en-US" w:bidi="ar"/>
        </w:rPr>
        <w:t>200</w:t>
      </w:r>
      <w:r>
        <w:rPr>
          <w:rFonts w:ascii="Times New Roman" w:hAnsi="Times New Roman" w:cs="Times New Roman"/>
          <w:kern w:val="2"/>
          <w:sz w:val="30"/>
          <w:szCs w:val="30"/>
          <w:lang w:val="en-US" w:bidi="ar"/>
        </w:rPr>
        <w:t>m</w:t>
      </w:r>
      <w:r>
        <w:rPr>
          <w:rFonts w:hint="eastAsia"/>
          <w:kern w:val="2"/>
          <w:sz w:val="30"/>
          <w:szCs w:val="30"/>
          <w:lang w:val="en-US" w:bidi="ar"/>
        </w:rPr>
        <w:t>和经距</w:t>
      </w:r>
      <w:r>
        <w:rPr>
          <w:rFonts w:hint="eastAsia" w:ascii="Times New Roman" w:hAnsi="Times New Roman"/>
          <w:kern w:val="2"/>
          <w:sz w:val="30"/>
          <w:szCs w:val="30"/>
          <w:lang w:val="en-US" w:bidi="ar"/>
        </w:rPr>
        <w:t>Y=36408000</w:t>
      </w:r>
      <w:r>
        <w:rPr>
          <w:rFonts w:hint="eastAsia"/>
          <w:kern w:val="2"/>
          <w:sz w:val="30"/>
          <w:szCs w:val="30"/>
          <w:lang w:val="en-US" w:bidi="ar"/>
        </w:rPr>
        <w:t>西</w:t>
      </w:r>
      <w:r>
        <w:rPr>
          <w:rFonts w:ascii="Times New Roman" w:hAnsi="Times New Roman" w:cs="Times New Roman"/>
          <w:kern w:val="2"/>
          <w:sz w:val="30"/>
          <w:szCs w:val="30"/>
          <w:lang w:val="en-US" w:bidi="ar"/>
        </w:rPr>
        <w:t>50m</w:t>
      </w:r>
      <w:r>
        <w:rPr>
          <w:rFonts w:hint="eastAsia"/>
          <w:kern w:val="2"/>
          <w:sz w:val="30"/>
          <w:szCs w:val="30"/>
          <w:lang w:val="en-US" w:bidi="ar"/>
        </w:rPr>
        <w:t>处，井口高程和主斜井工业场地平场标高均为</w:t>
      </w:r>
      <w:r>
        <w:rPr>
          <w:rFonts w:hint="eastAsia" w:ascii="Times New Roman" w:hAnsi="Times New Roman"/>
          <w:kern w:val="2"/>
          <w:sz w:val="30"/>
          <w:szCs w:val="30"/>
          <w:lang w:val="en-US" w:bidi="ar"/>
        </w:rPr>
        <w:t>+</w:t>
      </w:r>
      <w:r>
        <w:rPr>
          <w:rFonts w:ascii="Times New Roman" w:hAnsi="Times New Roman" w:cs="Times New Roman"/>
          <w:kern w:val="2"/>
          <w:sz w:val="30"/>
          <w:szCs w:val="30"/>
          <w:lang w:val="en-US" w:bidi="ar"/>
        </w:rPr>
        <w:t>1256.3m</w:t>
      </w:r>
      <w:r>
        <w:rPr>
          <w:rFonts w:hint="eastAsia"/>
          <w:kern w:val="2"/>
          <w:sz w:val="30"/>
          <w:szCs w:val="30"/>
          <w:lang w:val="en-US" w:bidi="ar"/>
        </w:rPr>
        <w:t>，场地内布置主井提升系统、地面储煤系统、两个工业场地南、北相距约</w:t>
      </w:r>
      <w:r>
        <w:rPr>
          <w:rFonts w:hint="eastAsia" w:ascii="Times New Roman" w:hAnsi="Times New Roman"/>
          <w:kern w:val="2"/>
          <w:sz w:val="30"/>
          <w:szCs w:val="30"/>
          <w:lang w:val="en-US" w:bidi="ar"/>
        </w:rPr>
        <w:t>700</w:t>
      </w:r>
      <w:r>
        <w:rPr>
          <w:rFonts w:hint="eastAsia"/>
          <w:kern w:val="2"/>
          <w:sz w:val="30"/>
          <w:szCs w:val="30"/>
          <w:lang w:val="en-US" w:bidi="ar"/>
        </w:rPr>
        <w:t>余米。</w:t>
      </w:r>
    </w:p>
    <w:p>
      <w:pPr>
        <w:pageBreakBefore w:val="0"/>
        <w:kinsoku/>
        <w:wordWrap/>
        <w:overflowPunct/>
        <w:topLinePunct w:val="0"/>
        <w:autoSpaceDE w:val="0"/>
        <w:autoSpaceDN w:val="0"/>
        <w:bidi w:val="0"/>
        <w:adjustRightInd/>
        <w:snapToGrid/>
        <w:spacing w:line="600" w:lineRule="exact"/>
        <w:ind w:firstLine="602" w:firstLineChars="200"/>
        <w:jc w:val="both"/>
        <w:textAlignment w:val="auto"/>
        <w:rPr>
          <w:b/>
          <w:kern w:val="2"/>
          <w:sz w:val="30"/>
          <w:szCs w:val="30"/>
        </w:rPr>
      </w:pPr>
      <w:r>
        <w:rPr>
          <w:rFonts w:hint="eastAsia"/>
          <w:b/>
          <w:kern w:val="2"/>
          <w:sz w:val="30"/>
          <w:szCs w:val="30"/>
          <w:lang w:val="en-US" w:bidi="ar"/>
        </w:rPr>
        <w:t>6、主要废弃物类型及处置情况</w:t>
      </w:r>
    </w:p>
    <w:p>
      <w:pPr>
        <w:pageBreakBefore w:val="0"/>
        <w:kinsoku/>
        <w:wordWrap/>
        <w:overflowPunct/>
        <w:topLinePunct w:val="0"/>
        <w:autoSpaceDE w:val="0"/>
        <w:autoSpaceDN w:val="0"/>
        <w:bidi w:val="0"/>
        <w:adjustRightInd/>
        <w:snapToGrid/>
        <w:spacing w:line="600" w:lineRule="exact"/>
        <w:ind w:firstLine="600" w:firstLineChars="200"/>
        <w:jc w:val="both"/>
        <w:textAlignment w:val="auto"/>
        <w:rPr>
          <w:kern w:val="2"/>
          <w:sz w:val="30"/>
          <w:szCs w:val="30"/>
        </w:rPr>
      </w:pPr>
      <w:r>
        <w:rPr>
          <w:rFonts w:hint="eastAsia"/>
          <w:kern w:val="2"/>
          <w:sz w:val="30"/>
          <w:szCs w:val="30"/>
          <w:lang w:val="en-US" w:bidi="ar"/>
        </w:rPr>
        <w:t>生产过程中产生的废弃物主要为煤矸石、灰渣，一部分用于井下建设，其余部分运往矸石发电厂。</w:t>
      </w:r>
    </w:p>
    <w:p>
      <w:pPr>
        <w:jc w:val="both"/>
        <w:rPr>
          <w:kern w:val="2"/>
          <w:sz w:val="30"/>
          <w:szCs w:val="30"/>
        </w:rPr>
      </w:pPr>
      <w:r>
        <w:rPr>
          <w:rFonts w:hint="eastAsia"/>
          <w:kern w:val="2"/>
          <w:sz w:val="30"/>
          <w:szCs w:val="30"/>
          <w:lang w:val="en-US" w:bidi="ar"/>
        </w:rPr>
        <w:t xml:space="preserve"> </w:t>
      </w:r>
    </w:p>
    <w:p>
      <w:pPr>
        <w:pStyle w:val="2"/>
        <w:widowControl/>
        <w:spacing w:line="360" w:lineRule="auto"/>
        <w:jc w:val="center"/>
        <w:rPr>
          <w:rFonts w:ascii="宋体" w:hAnsi="宋体" w:eastAsia="宋体" w:cs="宋体"/>
          <w:kern w:val="44"/>
          <w:sz w:val="36"/>
          <w:szCs w:val="36"/>
        </w:rPr>
      </w:pPr>
      <w:bookmarkStart w:id="27" w:name="_Toc217874208"/>
      <w:bookmarkEnd w:id="27"/>
      <w:bookmarkStart w:id="28" w:name="_Toc22322"/>
      <w:r>
        <w:rPr>
          <w:rFonts w:hint="eastAsia" w:ascii="宋体" w:hAnsi="宋体" w:eastAsia="宋体" w:cs="宋体"/>
          <w:kern w:val="44"/>
          <w:sz w:val="36"/>
          <w:szCs w:val="36"/>
        </w:rPr>
        <w:t>第二章  矿山环境影响评估</w:t>
      </w:r>
      <w:bookmarkEnd w:id="28"/>
    </w:p>
    <w:p>
      <w:pPr>
        <w:pStyle w:val="3"/>
        <w:widowControl/>
        <w:jc w:val="center"/>
        <w:rPr>
          <w:rFonts w:ascii="宋体" w:hAnsi="宋体" w:eastAsia="宋体"/>
          <w:b/>
          <w:color w:val="auto"/>
          <w:sz w:val="30"/>
        </w:rPr>
      </w:pPr>
      <w:bookmarkStart w:id="29" w:name="_Toc98326267"/>
      <w:bookmarkEnd w:id="29"/>
      <w:bookmarkStart w:id="30" w:name="_Toc133146588"/>
      <w:bookmarkEnd w:id="30"/>
      <w:bookmarkStart w:id="31" w:name="_Toc117169060"/>
      <w:bookmarkEnd w:id="31"/>
      <w:bookmarkStart w:id="32" w:name="_Toc51649781"/>
      <w:bookmarkEnd w:id="32"/>
      <w:bookmarkStart w:id="33" w:name="_Toc47815881"/>
      <w:bookmarkEnd w:id="33"/>
      <w:bookmarkStart w:id="34" w:name="_Toc51007499"/>
      <w:bookmarkEnd w:id="34"/>
      <w:bookmarkStart w:id="35" w:name="_Toc49659092"/>
      <w:bookmarkEnd w:id="35"/>
      <w:bookmarkStart w:id="36" w:name="_Toc48240717"/>
      <w:bookmarkEnd w:id="36"/>
      <w:bookmarkStart w:id="37" w:name="_Toc217874209"/>
      <w:bookmarkStart w:id="38" w:name="_Toc6877"/>
      <w:r>
        <w:rPr>
          <w:rFonts w:hint="eastAsia" w:ascii="宋体" w:hAnsi="宋体" w:eastAsia="宋体"/>
          <w:b/>
          <w:color w:val="auto"/>
          <w:sz w:val="30"/>
        </w:rPr>
        <w:t xml:space="preserve">第一节 </w:t>
      </w:r>
      <w:r>
        <w:rPr>
          <w:rFonts w:hint="eastAsia" w:ascii="宋体" w:hAnsi="宋体" w:eastAsia="宋体"/>
          <w:b/>
          <w:color w:val="auto"/>
          <w:sz w:val="30"/>
          <w:lang w:val="en-US" w:eastAsia="zh-CN"/>
        </w:rPr>
        <w:t xml:space="preserve"> </w:t>
      </w:r>
      <w:r>
        <w:rPr>
          <w:rFonts w:hint="eastAsia" w:ascii="宋体" w:hAnsi="宋体" w:eastAsia="宋体"/>
          <w:b/>
          <w:color w:val="auto"/>
          <w:sz w:val="30"/>
        </w:rPr>
        <w:t>评估</w:t>
      </w:r>
      <w:bookmarkEnd w:id="37"/>
      <w:r>
        <w:rPr>
          <w:rFonts w:hint="eastAsia" w:ascii="宋体" w:hAnsi="宋体" w:eastAsia="宋体"/>
          <w:b/>
          <w:color w:val="auto"/>
          <w:sz w:val="30"/>
        </w:rPr>
        <w:t>级别的确定</w:t>
      </w:r>
      <w:bookmarkEnd w:id="38"/>
    </w:p>
    <w:p>
      <w:pPr>
        <w:pageBreakBefore w:val="0"/>
        <w:kinsoku/>
        <w:wordWrap/>
        <w:overflowPunct/>
        <w:topLinePunct w:val="0"/>
        <w:autoSpaceDE w:val="0"/>
        <w:autoSpaceDN w:val="0"/>
        <w:bidi w:val="0"/>
        <w:adjustRightInd/>
        <w:snapToGrid/>
        <w:spacing w:line="600" w:lineRule="exact"/>
        <w:ind w:left="0" w:firstLine="602" w:firstLineChars="200"/>
        <w:jc w:val="both"/>
        <w:rPr>
          <w:b/>
          <w:sz w:val="30"/>
          <w:szCs w:val="30"/>
        </w:rPr>
      </w:pPr>
      <w:r>
        <w:rPr>
          <w:rFonts w:hint="eastAsia"/>
          <w:b/>
          <w:sz w:val="30"/>
          <w:szCs w:val="30"/>
          <w:lang w:val="en-US" w:bidi="ar"/>
        </w:rPr>
        <w:t>一、矿山环境影响评估范围</w:t>
      </w:r>
    </w:p>
    <w:p>
      <w:pPr>
        <w:pageBreakBefore w:val="0"/>
        <w:kinsoku/>
        <w:wordWrap/>
        <w:overflowPunct/>
        <w:topLinePunct w:val="0"/>
        <w:autoSpaceDE w:val="0"/>
        <w:autoSpaceDN w:val="0"/>
        <w:bidi w:val="0"/>
        <w:adjustRightInd/>
        <w:snapToGrid/>
        <w:spacing w:line="600" w:lineRule="exact"/>
        <w:ind w:left="0" w:firstLine="600" w:firstLineChars="200"/>
        <w:jc w:val="both"/>
        <w:rPr>
          <w:kern w:val="2"/>
          <w:sz w:val="30"/>
          <w:szCs w:val="30"/>
        </w:rPr>
      </w:pPr>
      <w:r>
        <w:rPr>
          <w:rFonts w:hint="eastAsia"/>
          <w:kern w:val="2"/>
          <w:sz w:val="30"/>
          <w:szCs w:val="30"/>
          <w:lang w:val="en-US" w:bidi="ar"/>
        </w:rPr>
        <w:t>矿山环境影响评估范围应包括矿山用地范围、矿业活动影响范围和可能影响矿业活动的不良地质因素存在的范围。</w:t>
      </w:r>
    </w:p>
    <w:p>
      <w:pPr>
        <w:pageBreakBefore w:val="0"/>
        <w:kinsoku/>
        <w:wordWrap/>
        <w:overflowPunct/>
        <w:topLinePunct w:val="0"/>
        <w:autoSpaceDE w:val="0"/>
        <w:autoSpaceDN w:val="0"/>
        <w:bidi w:val="0"/>
        <w:adjustRightInd/>
        <w:snapToGrid/>
        <w:spacing w:line="600" w:lineRule="exact"/>
        <w:ind w:left="0" w:firstLine="600" w:firstLineChars="200"/>
        <w:jc w:val="both"/>
        <w:rPr>
          <w:kern w:val="2"/>
          <w:sz w:val="30"/>
          <w:szCs w:val="30"/>
        </w:rPr>
      </w:pPr>
      <w:r>
        <w:rPr>
          <w:rFonts w:hint="eastAsia"/>
          <w:kern w:val="2"/>
          <w:sz w:val="30"/>
          <w:szCs w:val="30"/>
          <w:lang w:val="en-US" w:bidi="ar"/>
        </w:rPr>
        <w:t>该矿区面积1.7772km</w:t>
      </w:r>
      <w:r>
        <w:rPr>
          <w:rFonts w:hint="eastAsia"/>
          <w:kern w:val="2"/>
          <w:sz w:val="30"/>
          <w:szCs w:val="30"/>
          <w:vertAlign w:val="superscript"/>
          <w:lang w:val="en-US" w:bidi="ar"/>
        </w:rPr>
        <w:t>2</w:t>
      </w:r>
      <w:r>
        <w:rPr>
          <w:rFonts w:hint="eastAsia"/>
          <w:kern w:val="2"/>
          <w:sz w:val="30"/>
          <w:szCs w:val="30"/>
          <w:lang w:val="en-US" w:bidi="ar"/>
        </w:rPr>
        <w:t>。根据矿区地质环境条件以及煤矿的开采方式，结合矿体埋藏深度及厚度，因此将该矿区的范围确定为该矿山环境影响的评估范围，评估面积1.7771km</w:t>
      </w:r>
      <w:r>
        <w:rPr>
          <w:rFonts w:hint="eastAsia"/>
          <w:kern w:val="2"/>
          <w:sz w:val="30"/>
          <w:szCs w:val="30"/>
          <w:vertAlign w:val="superscript"/>
          <w:lang w:val="en-US" w:bidi="ar"/>
        </w:rPr>
        <w:t>2</w:t>
      </w:r>
      <w:r>
        <w:rPr>
          <w:rFonts w:hint="eastAsia"/>
          <w:kern w:val="2"/>
          <w:sz w:val="30"/>
          <w:szCs w:val="30"/>
          <w:lang w:val="en-US" w:bidi="ar"/>
        </w:rPr>
        <w:t>。</w:t>
      </w:r>
    </w:p>
    <w:p>
      <w:pPr>
        <w:pStyle w:val="10"/>
        <w:pageBreakBefore w:val="0"/>
        <w:kinsoku/>
        <w:wordWrap/>
        <w:overflowPunct/>
        <w:topLinePunct w:val="0"/>
        <w:autoSpaceDE w:val="0"/>
        <w:autoSpaceDN w:val="0"/>
        <w:bidi w:val="0"/>
        <w:adjustRightInd/>
        <w:snapToGrid/>
        <w:spacing w:line="600" w:lineRule="exact"/>
        <w:ind w:left="0" w:firstLine="602" w:firstLineChars="200"/>
        <w:jc w:val="both"/>
        <w:rPr>
          <w:b/>
          <w:kern w:val="2"/>
          <w:sz w:val="30"/>
          <w:szCs w:val="30"/>
        </w:rPr>
      </w:pPr>
      <w:r>
        <w:rPr>
          <w:rFonts w:hint="eastAsia"/>
          <w:b/>
          <w:kern w:val="2"/>
          <w:sz w:val="30"/>
          <w:szCs w:val="30"/>
          <w:lang w:val="en-US" w:bidi="ar"/>
        </w:rPr>
        <w:t>二、矿山地质环境条件复杂程度</w:t>
      </w:r>
    </w:p>
    <w:p>
      <w:pPr>
        <w:pStyle w:val="10"/>
        <w:pageBreakBefore w:val="0"/>
        <w:kinsoku/>
        <w:wordWrap/>
        <w:overflowPunct/>
        <w:topLinePunct w:val="0"/>
        <w:autoSpaceDE w:val="0"/>
        <w:autoSpaceDN w:val="0"/>
        <w:bidi w:val="0"/>
        <w:adjustRightInd/>
        <w:snapToGrid/>
        <w:spacing w:line="600" w:lineRule="exact"/>
        <w:ind w:left="0" w:firstLine="600" w:firstLineChars="200"/>
        <w:jc w:val="both"/>
        <w:rPr>
          <w:kern w:val="2"/>
          <w:sz w:val="30"/>
          <w:szCs w:val="30"/>
        </w:rPr>
      </w:pPr>
      <w:r>
        <w:rPr>
          <w:rFonts w:hint="eastAsia"/>
          <w:kern w:val="2"/>
          <w:sz w:val="30"/>
          <w:szCs w:val="30"/>
          <w:lang w:val="en-US" w:bidi="ar"/>
        </w:rPr>
        <w:t>该矿山开采矿层稳定，主要充水含水层富水性弱，水文地质条件简单；废石、废渣、废水不易分解有害组分，且其排放量很少，不易污染水、土环境；采空区面积和空间小；现状条件下矿山地质环境问题少，危害小；地质构造简单，影响矿坑充水因素小；岩土体工程地质条件较好，可溶岩类不发育，地表残坡积层厚度＜5m，工程地质条件简单；矿区地貌类型较少，地形坡度一般在5°左右。判定该矿山地质环境条件复杂程度应为“简单”类型。</w:t>
      </w:r>
    </w:p>
    <w:p>
      <w:pPr>
        <w:pStyle w:val="10"/>
        <w:pageBreakBefore w:val="0"/>
        <w:kinsoku/>
        <w:wordWrap/>
        <w:overflowPunct/>
        <w:topLinePunct w:val="0"/>
        <w:autoSpaceDE w:val="0"/>
        <w:autoSpaceDN w:val="0"/>
        <w:bidi w:val="0"/>
        <w:adjustRightInd/>
        <w:snapToGrid/>
        <w:spacing w:line="600" w:lineRule="exact"/>
        <w:ind w:left="0" w:firstLine="602" w:firstLineChars="200"/>
        <w:jc w:val="both"/>
        <w:rPr>
          <w:b/>
          <w:kern w:val="2"/>
          <w:sz w:val="30"/>
          <w:szCs w:val="30"/>
        </w:rPr>
      </w:pPr>
      <w:r>
        <w:rPr>
          <w:rFonts w:hint="eastAsia"/>
          <w:b/>
          <w:kern w:val="2"/>
          <w:sz w:val="30"/>
          <w:szCs w:val="30"/>
          <w:lang w:val="en-US" w:bidi="ar"/>
        </w:rPr>
        <w:t>三、矿山生产建设规模</w:t>
      </w:r>
    </w:p>
    <w:p>
      <w:pPr>
        <w:pStyle w:val="10"/>
        <w:pageBreakBefore w:val="0"/>
        <w:kinsoku/>
        <w:wordWrap/>
        <w:overflowPunct/>
        <w:topLinePunct w:val="0"/>
        <w:autoSpaceDE w:val="0"/>
        <w:autoSpaceDN w:val="0"/>
        <w:bidi w:val="0"/>
        <w:adjustRightInd/>
        <w:snapToGrid/>
        <w:spacing w:line="600" w:lineRule="exact"/>
        <w:ind w:left="0" w:firstLine="600" w:firstLineChars="200"/>
        <w:jc w:val="both"/>
        <w:rPr>
          <w:kern w:val="2"/>
          <w:sz w:val="30"/>
          <w:szCs w:val="30"/>
        </w:rPr>
      </w:pPr>
      <w:r>
        <w:rPr>
          <w:rFonts w:hint="eastAsia"/>
          <w:sz w:val="30"/>
          <w:szCs w:val="30"/>
          <w:lang w:val="en-US" w:bidi="ar"/>
        </w:rPr>
        <w:t>矿山开采方式属地下开采，矿山设计生产能力为年采矿石45万吨。根据《编制规范》中附录D.表D.</w:t>
      </w:r>
      <w:r>
        <w:rPr>
          <w:rFonts w:hint="eastAsia"/>
          <w:kern w:val="2"/>
          <w:sz w:val="30"/>
          <w:szCs w:val="30"/>
          <w:lang w:val="en-US" w:bidi="ar"/>
        </w:rPr>
        <w:t>1“矿山生产规模分类一览表”，确定该矿山生产建设规模为“中型”。</w:t>
      </w:r>
    </w:p>
    <w:p>
      <w:pPr>
        <w:pageBreakBefore w:val="0"/>
        <w:kinsoku/>
        <w:wordWrap/>
        <w:overflowPunct/>
        <w:topLinePunct w:val="0"/>
        <w:autoSpaceDE w:val="0"/>
        <w:autoSpaceDN w:val="0"/>
        <w:bidi w:val="0"/>
        <w:adjustRightInd/>
        <w:snapToGrid/>
        <w:spacing w:line="600" w:lineRule="exact"/>
        <w:ind w:left="0" w:firstLine="602" w:firstLineChars="200"/>
        <w:jc w:val="both"/>
        <w:rPr>
          <w:b/>
          <w:sz w:val="30"/>
          <w:szCs w:val="30"/>
        </w:rPr>
      </w:pPr>
      <w:r>
        <w:rPr>
          <w:rFonts w:hint="eastAsia"/>
          <w:b/>
          <w:sz w:val="30"/>
          <w:szCs w:val="30"/>
          <w:lang w:val="en-US" w:bidi="ar"/>
        </w:rPr>
        <w:t>四、矿区重要程度</w:t>
      </w:r>
    </w:p>
    <w:p>
      <w:pPr>
        <w:pageBreakBefore w:val="0"/>
        <w:kinsoku/>
        <w:wordWrap/>
        <w:overflowPunct/>
        <w:topLinePunct w:val="0"/>
        <w:autoSpaceDE w:val="0"/>
        <w:autoSpaceDN w:val="0"/>
        <w:bidi w:val="0"/>
        <w:adjustRightInd/>
        <w:snapToGrid/>
        <w:spacing w:line="600" w:lineRule="exact"/>
        <w:ind w:left="0" w:firstLine="600" w:firstLineChars="200"/>
        <w:jc w:val="both"/>
        <w:rPr>
          <w:sz w:val="30"/>
          <w:szCs w:val="30"/>
        </w:rPr>
      </w:pPr>
      <w:r>
        <w:rPr>
          <w:rFonts w:hint="eastAsia"/>
          <w:kern w:val="2"/>
          <w:sz w:val="30"/>
          <w:szCs w:val="30"/>
          <w:lang w:val="en-US" w:bidi="ar"/>
        </w:rPr>
        <w:t>矿区范围</w:t>
      </w:r>
      <w:r>
        <w:rPr>
          <w:rFonts w:hint="eastAsia"/>
          <w:sz w:val="30"/>
          <w:szCs w:val="30"/>
          <w:lang w:val="en-US" w:bidi="ar"/>
        </w:rPr>
        <w:t>内无村庄分布，亦无重要交通要道及较重要建筑设施；评估区及周边300m范围内无各级自然保护区及旅游景区（点）；评估区范围内无重要、较重要水源地；矿区范围内无耕地面积。确定矿区重要程度为 “一般区”。</w:t>
      </w:r>
    </w:p>
    <w:p>
      <w:pPr>
        <w:pageBreakBefore w:val="0"/>
        <w:kinsoku/>
        <w:wordWrap/>
        <w:overflowPunct/>
        <w:topLinePunct w:val="0"/>
        <w:autoSpaceDE w:val="0"/>
        <w:autoSpaceDN w:val="0"/>
        <w:bidi w:val="0"/>
        <w:adjustRightInd/>
        <w:snapToGrid/>
        <w:spacing w:line="600" w:lineRule="exact"/>
        <w:ind w:left="0" w:firstLine="602" w:firstLineChars="200"/>
        <w:jc w:val="both"/>
        <w:rPr>
          <w:b/>
          <w:sz w:val="30"/>
          <w:szCs w:val="30"/>
        </w:rPr>
      </w:pPr>
      <w:r>
        <w:rPr>
          <w:rFonts w:hint="eastAsia"/>
          <w:b/>
          <w:sz w:val="30"/>
          <w:szCs w:val="30"/>
          <w:lang w:val="en-US" w:bidi="ar"/>
        </w:rPr>
        <w:t>五、评估精度的确定</w:t>
      </w:r>
    </w:p>
    <w:p>
      <w:pPr>
        <w:pageBreakBefore w:val="0"/>
        <w:kinsoku/>
        <w:wordWrap/>
        <w:overflowPunct/>
        <w:topLinePunct w:val="0"/>
        <w:autoSpaceDE w:val="0"/>
        <w:autoSpaceDN w:val="0"/>
        <w:bidi w:val="0"/>
        <w:adjustRightInd/>
        <w:snapToGrid/>
        <w:spacing w:line="600" w:lineRule="exact"/>
        <w:ind w:left="0" w:firstLine="600" w:firstLineChars="200"/>
        <w:jc w:val="both"/>
        <w:rPr>
          <w:rFonts w:hint="eastAsia"/>
          <w:kern w:val="2"/>
          <w:sz w:val="30"/>
          <w:szCs w:val="30"/>
          <w:lang w:val="en-US" w:bidi="ar"/>
        </w:rPr>
      </w:pPr>
      <w:r>
        <w:rPr>
          <w:rFonts w:hint="eastAsia"/>
          <w:kern w:val="2"/>
          <w:sz w:val="30"/>
          <w:szCs w:val="30"/>
          <w:lang w:val="en-US" w:bidi="ar"/>
        </w:rPr>
        <w:t>该矿山地质环境条件复杂程度属于“简单”类型，矿山生产建设规模为“小型”，矿区重要程度分级为</w:t>
      </w:r>
      <w:r>
        <w:rPr>
          <w:rFonts w:hint="eastAsia"/>
          <w:sz w:val="30"/>
          <w:szCs w:val="30"/>
          <w:lang w:val="en-US" w:bidi="ar"/>
        </w:rPr>
        <w:t>一般区</w:t>
      </w:r>
      <w:r>
        <w:rPr>
          <w:rFonts w:hint="eastAsia"/>
          <w:kern w:val="2"/>
          <w:sz w:val="30"/>
          <w:szCs w:val="30"/>
          <w:lang w:val="en-US" w:bidi="ar"/>
        </w:rPr>
        <w:t>，对照《编制规范》附录A、表A.1“矿山环境影响评估精度分级表”，确定本次矿山环境影响评估精度为“三级”。</w:t>
      </w:r>
    </w:p>
    <w:p>
      <w:pPr>
        <w:pageBreakBefore w:val="0"/>
        <w:kinsoku/>
        <w:wordWrap/>
        <w:overflowPunct/>
        <w:topLinePunct w:val="0"/>
        <w:autoSpaceDE w:val="0"/>
        <w:autoSpaceDN w:val="0"/>
        <w:bidi w:val="0"/>
        <w:adjustRightInd/>
        <w:snapToGrid/>
        <w:spacing w:line="600" w:lineRule="exact"/>
        <w:ind w:left="0" w:firstLine="600" w:firstLineChars="200"/>
        <w:jc w:val="both"/>
        <w:rPr>
          <w:rFonts w:hint="eastAsia"/>
          <w:kern w:val="2"/>
          <w:sz w:val="30"/>
          <w:szCs w:val="30"/>
          <w:lang w:val="en-US" w:bidi="ar"/>
        </w:rPr>
      </w:pPr>
    </w:p>
    <w:p>
      <w:pPr>
        <w:pStyle w:val="3"/>
        <w:pageBreakBefore w:val="0"/>
        <w:widowControl/>
        <w:kinsoku/>
        <w:wordWrap/>
        <w:overflowPunct/>
        <w:topLinePunct w:val="0"/>
        <w:autoSpaceDE w:val="0"/>
        <w:autoSpaceDN w:val="0"/>
        <w:bidi w:val="0"/>
        <w:adjustRightInd/>
        <w:snapToGrid/>
        <w:spacing w:before="0" w:after="0" w:line="600" w:lineRule="exact"/>
        <w:jc w:val="center"/>
        <w:rPr>
          <w:rFonts w:ascii="宋体" w:hAnsi="宋体" w:eastAsia="宋体"/>
          <w:b/>
          <w:color w:val="auto"/>
          <w:sz w:val="30"/>
          <w:szCs w:val="30"/>
        </w:rPr>
      </w:pPr>
      <w:bookmarkStart w:id="39" w:name="_Toc98326268"/>
      <w:bookmarkEnd w:id="39"/>
      <w:bookmarkStart w:id="40" w:name="_Toc217874210"/>
      <w:bookmarkEnd w:id="40"/>
      <w:bookmarkStart w:id="41" w:name="_Toc47815852"/>
      <w:bookmarkStart w:id="42" w:name="_Toc22899"/>
      <w:r>
        <w:rPr>
          <w:rFonts w:hint="eastAsia" w:ascii="宋体" w:hAnsi="宋体" w:eastAsia="宋体"/>
          <w:b/>
          <w:color w:val="auto"/>
          <w:sz w:val="30"/>
          <w:szCs w:val="30"/>
        </w:rPr>
        <w:t xml:space="preserve">第二节 </w:t>
      </w:r>
      <w:r>
        <w:rPr>
          <w:rFonts w:hint="eastAsia" w:ascii="宋体" w:hAnsi="宋体" w:eastAsia="宋体"/>
          <w:b/>
          <w:color w:val="auto"/>
          <w:sz w:val="30"/>
          <w:szCs w:val="30"/>
          <w:lang w:val="en-US" w:eastAsia="zh-CN"/>
        </w:rPr>
        <w:t xml:space="preserve"> </w:t>
      </w:r>
      <w:r>
        <w:rPr>
          <w:rFonts w:hint="eastAsia" w:ascii="宋体" w:hAnsi="宋体" w:eastAsia="宋体"/>
          <w:b/>
          <w:color w:val="auto"/>
          <w:sz w:val="30"/>
          <w:szCs w:val="30"/>
        </w:rPr>
        <w:t>可能引发的矿山</w:t>
      </w:r>
      <w:bookmarkEnd w:id="41"/>
      <w:r>
        <w:rPr>
          <w:rFonts w:hint="eastAsia" w:ascii="宋体" w:hAnsi="宋体" w:eastAsia="宋体"/>
          <w:b/>
          <w:color w:val="auto"/>
          <w:sz w:val="30"/>
          <w:szCs w:val="30"/>
        </w:rPr>
        <w:t>环境问题分析</w:t>
      </w:r>
      <w:bookmarkEnd w:id="42"/>
    </w:p>
    <w:p>
      <w:pPr>
        <w:pageBreakBefore w:val="0"/>
        <w:kinsoku/>
        <w:wordWrap/>
        <w:overflowPunct/>
        <w:topLinePunct w:val="0"/>
        <w:autoSpaceDE w:val="0"/>
        <w:autoSpaceDN w:val="0"/>
        <w:bidi w:val="0"/>
        <w:adjustRightInd/>
        <w:snapToGrid/>
        <w:spacing w:line="600" w:lineRule="exact"/>
        <w:ind w:left="0" w:firstLine="600" w:firstLineChars="200"/>
        <w:jc w:val="both"/>
        <w:rPr>
          <w:kern w:val="2"/>
          <w:sz w:val="30"/>
          <w:szCs w:val="30"/>
        </w:rPr>
      </w:pPr>
      <w:r>
        <w:rPr>
          <w:rFonts w:hint="eastAsia"/>
          <w:kern w:val="2"/>
          <w:sz w:val="30"/>
          <w:szCs w:val="30"/>
          <w:lang w:val="en-US" w:bidi="ar"/>
        </w:rPr>
        <w:t>区内矿业开发可能引发的环境问题主要有土地资源的占用与破坏、水资源与水环境变化和矿山地质灾害三个方面。</w:t>
      </w:r>
    </w:p>
    <w:p>
      <w:pPr>
        <w:pStyle w:val="4"/>
        <w:pageBreakBefore w:val="0"/>
        <w:widowControl/>
        <w:kinsoku/>
        <w:wordWrap/>
        <w:overflowPunct/>
        <w:topLinePunct w:val="0"/>
        <w:autoSpaceDE w:val="0"/>
        <w:autoSpaceDN w:val="0"/>
        <w:bidi w:val="0"/>
        <w:adjustRightInd/>
        <w:snapToGrid/>
        <w:spacing w:before="0" w:after="0" w:line="600" w:lineRule="exact"/>
        <w:ind w:left="0" w:firstLine="602" w:firstLineChars="200"/>
        <w:rPr>
          <w:kern w:val="2"/>
          <w:sz w:val="30"/>
          <w:szCs w:val="30"/>
        </w:rPr>
      </w:pPr>
      <w:r>
        <w:rPr>
          <w:rFonts w:hint="eastAsia"/>
          <w:kern w:val="2"/>
          <w:sz w:val="30"/>
          <w:szCs w:val="30"/>
        </w:rPr>
        <w:t>一、矿山开采占用破坏土地、植被问题分析</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根据该矿的《水土保护方案》可知，该项工程工业场地建设主要包括主井工业场地、副井工业场地、贮煤场、贮渣场、矿区公路。总占地面</w:t>
      </w:r>
      <w:r>
        <w:rPr>
          <w:rFonts w:hint="eastAsia" w:ascii="宋体" w:hAnsi="宋体" w:cs="宋体"/>
          <w:color w:val="0000FF"/>
          <w:sz w:val="30"/>
          <w:szCs w:val="30"/>
          <w:lang w:bidi="zh-CN"/>
        </w:rPr>
        <w:t>积0.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3524km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。其中主井工业场地0.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0382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,副井工业场地0.0465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,贮煤场0.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06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,贮渣场0.</w:t>
      </w:r>
      <w:r>
        <w:rPr>
          <w:rFonts w:hint="eastAsia" w:ascii="宋体" w:hAnsi="宋体" w:cs="宋体"/>
          <w:color w:val="0000FF"/>
          <w:sz w:val="30"/>
          <w:szCs w:val="30"/>
          <w:lang w:val="en-US" w:bidi="zh-CN"/>
        </w:rPr>
        <w:t>00</w:t>
      </w:r>
      <w:r>
        <w:rPr>
          <w:rFonts w:hint="eastAsia" w:ascii="宋体" w:hAnsi="宋体" w:cs="宋体"/>
          <w:color w:val="0000FF"/>
          <w:sz w:val="30"/>
          <w:szCs w:val="30"/>
          <w:lang w:bidi="zh-CN"/>
        </w:rPr>
        <w:t>2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,矿区公路0.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077km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w:t>
      </w:r>
    </w:p>
    <w:p>
      <w:pPr>
        <w:pStyle w:val="4"/>
        <w:pageBreakBefore w:val="0"/>
        <w:widowControl/>
        <w:kinsoku/>
        <w:wordWrap/>
        <w:overflowPunct/>
        <w:topLinePunct w:val="0"/>
        <w:autoSpaceDE w:val="0"/>
        <w:autoSpaceDN w:val="0"/>
        <w:bidi w:val="0"/>
        <w:adjustRightInd/>
        <w:snapToGrid/>
        <w:spacing w:before="0" w:after="0" w:line="600" w:lineRule="exact"/>
        <w:ind w:left="0" w:firstLine="602" w:firstLineChars="200"/>
        <w:rPr>
          <w:kern w:val="2"/>
          <w:sz w:val="30"/>
          <w:szCs w:val="30"/>
        </w:rPr>
      </w:pPr>
      <w:r>
        <w:rPr>
          <w:rFonts w:hint="eastAsia"/>
          <w:kern w:val="2"/>
          <w:sz w:val="30"/>
          <w:szCs w:val="30"/>
        </w:rPr>
        <w:t>二、 矿山开采引发的地质灾害</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根据现场调查，区内历史上未曾发生过泥石流地质灾害；区内无地下工程和集中供水水源地，未发现地面沉降和地裂缝地质灾害；矿区内没有大的切坡、削坡工程，因此，矿山开采不会引发崩塌、滑坡地质灾害，也不会引发泥石流地质灾害。</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由于该项工程开采方式为地下开采，会引发地面塌陷地质灾害。</w:t>
      </w:r>
    </w:p>
    <w:p>
      <w:pPr>
        <w:pStyle w:val="4"/>
        <w:pageBreakBefore w:val="0"/>
        <w:widowControl/>
        <w:kinsoku/>
        <w:wordWrap/>
        <w:overflowPunct/>
        <w:topLinePunct w:val="0"/>
        <w:autoSpaceDE w:val="0"/>
        <w:autoSpaceDN w:val="0"/>
        <w:bidi w:val="0"/>
        <w:adjustRightInd/>
        <w:snapToGrid/>
        <w:spacing w:before="0" w:after="0" w:line="600" w:lineRule="exact"/>
        <w:ind w:left="0" w:firstLine="602" w:firstLineChars="200"/>
        <w:rPr>
          <w:kern w:val="2"/>
          <w:sz w:val="30"/>
          <w:szCs w:val="30"/>
        </w:rPr>
      </w:pPr>
      <w:r>
        <w:rPr>
          <w:rFonts w:hint="eastAsia"/>
          <w:kern w:val="2"/>
          <w:sz w:val="30"/>
          <w:szCs w:val="30"/>
        </w:rPr>
        <w:t>三、矿山开采对矿区及区域水资源、水环境的影响</w:t>
      </w:r>
    </w:p>
    <w:p>
      <w:pPr>
        <w:pageBreakBefore w:val="0"/>
        <w:kinsoku/>
        <w:wordWrap/>
        <w:overflowPunct/>
        <w:topLinePunct w:val="0"/>
        <w:autoSpaceDE w:val="0"/>
        <w:autoSpaceDN w:val="0"/>
        <w:bidi w:val="0"/>
        <w:adjustRightInd/>
        <w:snapToGrid/>
        <w:spacing w:line="600" w:lineRule="exact"/>
        <w:ind w:left="0" w:firstLine="600" w:firstLineChars="200"/>
        <w:jc w:val="both"/>
        <w:rPr>
          <w:kern w:val="2"/>
          <w:sz w:val="30"/>
          <w:szCs w:val="30"/>
        </w:rPr>
      </w:pPr>
      <w:r>
        <w:rPr>
          <w:rFonts w:hint="eastAsia"/>
          <w:kern w:val="2"/>
          <w:sz w:val="30"/>
          <w:szCs w:val="30"/>
          <w:lang w:val="en-US" w:bidi="ar"/>
        </w:rPr>
        <w:t>（一）区域地表水、地下水系统简述</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1．地表水</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黄河为煤田附近的唯一地表水体，水位标高平均1065</w:t>
      </w:r>
      <w:r>
        <w:rPr>
          <w:rFonts w:ascii="宋体" w:hAnsi="宋体" w:cs="宋体"/>
          <w:sz w:val="30"/>
          <w:szCs w:val="30"/>
          <w:lang w:bidi="zh-CN"/>
        </w:rPr>
        <w:t>m</w:t>
      </w:r>
      <w:r>
        <w:rPr>
          <w:rFonts w:hint="eastAsia" w:ascii="宋体" w:hAnsi="宋体" w:cs="宋体"/>
          <w:sz w:val="30"/>
          <w:szCs w:val="30"/>
          <w:lang w:bidi="zh-CN"/>
        </w:rPr>
        <w:t>，比煤田标高低200</w:t>
      </w:r>
      <w:r>
        <w:rPr>
          <w:rFonts w:ascii="宋体" w:hAnsi="宋体" w:cs="宋体"/>
          <w:sz w:val="30"/>
          <w:szCs w:val="30"/>
          <w:lang w:bidi="zh-CN"/>
        </w:rPr>
        <w:t>m</w:t>
      </w:r>
      <w:r>
        <w:rPr>
          <w:rFonts w:hint="eastAsia" w:ascii="宋体" w:hAnsi="宋体" w:cs="宋体"/>
          <w:sz w:val="30"/>
          <w:szCs w:val="30"/>
          <w:lang w:bidi="zh-CN"/>
        </w:rPr>
        <w:t>左右。煤田与黄河之间赋存着巨厚的隔水岩层，因此，黄河与煤田无直接水力联系。</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2、地下水</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该矿区地下水类型有三种：第四系松散岩层孔隙潜水及基岩类孔隙裂隙承压水和碳酸岩类裂隙水。据该矿的《储量核实报告》可知，矿区地下水微弱，少量很少。</w:t>
      </w:r>
    </w:p>
    <w:p>
      <w:pPr>
        <w:pStyle w:val="10"/>
        <w:pageBreakBefore w:val="0"/>
        <w:kinsoku/>
        <w:wordWrap/>
        <w:overflowPunct/>
        <w:topLinePunct w:val="0"/>
        <w:autoSpaceDE w:val="0"/>
        <w:autoSpaceDN w:val="0"/>
        <w:bidi w:val="0"/>
        <w:adjustRightInd/>
        <w:snapToGrid/>
        <w:spacing w:line="600" w:lineRule="exact"/>
        <w:ind w:left="0" w:firstLine="600" w:firstLineChars="200"/>
        <w:rPr>
          <w:kern w:val="2"/>
          <w:sz w:val="30"/>
          <w:szCs w:val="30"/>
        </w:rPr>
      </w:pPr>
      <w:r>
        <w:rPr>
          <w:rFonts w:hint="eastAsia"/>
          <w:kern w:val="2"/>
          <w:sz w:val="30"/>
          <w:szCs w:val="30"/>
          <w:lang w:val="en-US" w:bidi="ar"/>
        </w:rPr>
        <w:t>（二）疏干水（矿坑排水）</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施工期排放的污水主要为：矿坑涌水和少量生活污水。矿坑涌水中主要污染物为泥沙悬浮物和矿物油;生活污水中，含有大量的有机物和悬浮物。本工程施工排放的废水为矿坑涌水，对其进行适当的沉淀处理后可以达标排放，对土壤、地下水等环境的影响较小。</w:t>
      </w:r>
    </w:p>
    <w:p>
      <w:pPr>
        <w:pageBreakBefore w:val="0"/>
        <w:kinsoku/>
        <w:wordWrap/>
        <w:overflowPunct/>
        <w:topLinePunct w:val="0"/>
        <w:autoSpaceDE w:val="0"/>
        <w:autoSpaceDN w:val="0"/>
        <w:bidi w:val="0"/>
        <w:adjustRightInd/>
        <w:snapToGrid/>
        <w:spacing w:line="600" w:lineRule="exact"/>
        <w:ind w:left="0" w:firstLine="600" w:firstLineChars="200"/>
        <w:jc w:val="both"/>
        <w:rPr>
          <w:rFonts w:hint="eastAsia"/>
          <w:kern w:val="2"/>
          <w:sz w:val="30"/>
          <w:szCs w:val="30"/>
          <w:lang w:val="en-US" w:bidi="ar"/>
        </w:rPr>
      </w:pPr>
      <w:r>
        <w:rPr>
          <w:rFonts w:hint="eastAsia"/>
          <w:kern w:val="2"/>
          <w:sz w:val="30"/>
          <w:szCs w:val="30"/>
          <w:lang w:val="en-US" w:bidi="ar"/>
        </w:rPr>
        <w:t>（三）本矿无尾矿库，因此也无尾矿废水。</w:t>
      </w:r>
    </w:p>
    <w:p>
      <w:pPr>
        <w:pageBreakBefore w:val="0"/>
        <w:kinsoku/>
        <w:wordWrap/>
        <w:overflowPunct/>
        <w:topLinePunct w:val="0"/>
        <w:autoSpaceDE w:val="0"/>
        <w:autoSpaceDN w:val="0"/>
        <w:bidi w:val="0"/>
        <w:adjustRightInd/>
        <w:snapToGrid/>
        <w:spacing w:line="600" w:lineRule="exact"/>
        <w:ind w:left="0" w:firstLine="600" w:firstLineChars="200"/>
        <w:jc w:val="both"/>
        <w:rPr>
          <w:rFonts w:hint="eastAsia"/>
          <w:kern w:val="2"/>
          <w:sz w:val="30"/>
          <w:szCs w:val="30"/>
          <w:lang w:val="en-US" w:bidi="ar"/>
        </w:rPr>
      </w:pPr>
    </w:p>
    <w:p>
      <w:pPr>
        <w:pStyle w:val="3"/>
        <w:pageBreakBefore w:val="0"/>
        <w:widowControl/>
        <w:kinsoku/>
        <w:wordWrap/>
        <w:overflowPunct/>
        <w:topLinePunct w:val="0"/>
        <w:autoSpaceDE w:val="0"/>
        <w:autoSpaceDN w:val="0"/>
        <w:bidi w:val="0"/>
        <w:adjustRightInd/>
        <w:snapToGrid/>
        <w:spacing w:before="0" w:after="0" w:line="600" w:lineRule="exact"/>
        <w:jc w:val="center"/>
        <w:rPr>
          <w:rFonts w:ascii="宋体" w:hAnsi="宋体" w:eastAsia="宋体"/>
          <w:b/>
          <w:color w:val="auto"/>
          <w:sz w:val="30"/>
          <w:szCs w:val="30"/>
        </w:rPr>
      </w:pPr>
      <w:bookmarkStart w:id="43" w:name="_Toc98326269"/>
      <w:bookmarkEnd w:id="43"/>
      <w:bookmarkStart w:id="44" w:name="_Toc133146622"/>
      <w:bookmarkEnd w:id="44"/>
      <w:bookmarkStart w:id="45" w:name="_Toc217874211"/>
      <w:bookmarkStart w:id="46" w:name="_Toc14749"/>
      <w:r>
        <w:rPr>
          <w:rFonts w:hint="eastAsia" w:ascii="宋体" w:hAnsi="宋体" w:eastAsia="宋体"/>
          <w:b/>
          <w:color w:val="auto"/>
          <w:sz w:val="30"/>
          <w:szCs w:val="30"/>
        </w:rPr>
        <w:t>第三节  矿山环境影响预测评</w:t>
      </w:r>
      <w:bookmarkEnd w:id="45"/>
      <w:r>
        <w:rPr>
          <w:rFonts w:hint="eastAsia" w:ascii="宋体" w:hAnsi="宋体" w:eastAsia="宋体"/>
          <w:b/>
          <w:color w:val="auto"/>
          <w:sz w:val="30"/>
          <w:szCs w:val="30"/>
        </w:rPr>
        <w:t>估</w:t>
      </w:r>
      <w:bookmarkEnd w:id="46"/>
    </w:p>
    <w:p>
      <w:pPr>
        <w:pStyle w:val="4"/>
        <w:keepNext w:val="0"/>
        <w:keepLines w:val="0"/>
        <w:pageBreakBefore w:val="0"/>
        <w:suppressLineNumbers/>
        <w:kinsoku/>
        <w:wordWrap/>
        <w:overflowPunct/>
        <w:topLinePunct w:val="0"/>
        <w:autoSpaceDE w:val="0"/>
        <w:autoSpaceDN w:val="0"/>
        <w:bidi w:val="0"/>
        <w:adjustRightInd/>
        <w:snapToGrid/>
        <w:spacing w:before="0" w:after="0" w:line="600" w:lineRule="exact"/>
        <w:ind w:left="0" w:firstLine="602" w:firstLineChars="200"/>
        <w:rPr>
          <w:kern w:val="2"/>
          <w:sz w:val="30"/>
          <w:szCs w:val="30"/>
        </w:rPr>
      </w:pPr>
      <w:r>
        <w:rPr>
          <w:rFonts w:hint="eastAsia"/>
          <w:kern w:val="2"/>
          <w:sz w:val="30"/>
          <w:szCs w:val="30"/>
        </w:rPr>
        <w:t>一、矿山开采引发地质灾害预测评估</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随着煤矿建设工程的实施及煤矿全面开采，将改变现有的地质环境条件，主要会引发地面沉陷地质灾害。</w:t>
      </w:r>
    </w:p>
    <w:p>
      <w:pPr>
        <w:pageBreakBefore w:val="0"/>
        <w:kinsoku/>
        <w:wordWrap/>
        <w:overflowPunct/>
        <w:topLinePunct w:val="0"/>
        <w:autoSpaceDE w:val="0"/>
        <w:autoSpaceDN w:val="0"/>
        <w:bidi w:val="0"/>
        <w:adjustRightInd/>
        <w:snapToGrid/>
        <w:spacing w:line="600" w:lineRule="exact"/>
        <w:ind w:left="0" w:firstLine="602" w:firstLineChars="200"/>
        <w:jc w:val="both"/>
        <w:rPr>
          <w:b/>
          <w:kern w:val="2"/>
          <w:sz w:val="30"/>
          <w:szCs w:val="30"/>
        </w:rPr>
      </w:pPr>
      <w:r>
        <w:rPr>
          <w:rFonts w:hint="eastAsia"/>
          <w:b/>
          <w:kern w:val="2"/>
          <w:sz w:val="30"/>
          <w:szCs w:val="30"/>
          <w:lang w:val="en-US" w:bidi="ar"/>
        </w:rPr>
        <w:t>（一）预测原则</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1、以矿区内钻孔及开采方案作为预测依据。</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2、以整个井田6层煤全部充分采掘为基础进行预测。</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3、合并间距较小的（8-1、9-2、9-3）、（16-1、16-2）煤层厚度，其余煤层单独计算采深采厚比。</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both"/>
        <w:rPr>
          <w:rFonts w:ascii="宋体" w:hAnsi="宋体" w:cs="宋体"/>
          <w:sz w:val="30"/>
          <w:szCs w:val="30"/>
          <w:lang w:bidi="zh-CN"/>
        </w:rPr>
      </w:pPr>
      <w:r>
        <w:rPr>
          <w:rFonts w:hint="eastAsia" w:ascii="宋体" w:hAnsi="宋体" w:cs="宋体"/>
          <w:sz w:val="30"/>
          <w:szCs w:val="30"/>
          <w:lang w:bidi="zh-CN"/>
        </w:rPr>
        <w:t>4、按照采深采厚比小于30为地面塌陷，大于30为地面沉陷的方法预测地质灾害的形式进而预测其危险性。</w:t>
      </w:r>
    </w:p>
    <w:p>
      <w:pPr>
        <w:pageBreakBefore w:val="0"/>
        <w:kinsoku/>
        <w:wordWrap/>
        <w:overflowPunct/>
        <w:topLinePunct w:val="0"/>
        <w:autoSpaceDE w:val="0"/>
        <w:autoSpaceDN w:val="0"/>
        <w:bidi w:val="0"/>
        <w:adjustRightInd/>
        <w:snapToGrid/>
        <w:spacing w:line="600" w:lineRule="exact"/>
        <w:ind w:left="0" w:firstLine="602" w:firstLineChars="200"/>
        <w:jc w:val="both"/>
        <w:rPr>
          <w:b/>
          <w:kern w:val="2"/>
          <w:sz w:val="30"/>
          <w:szCs w:val="30"/>
        </w:rPr>
      </w:pPr>
      <w:r>
        <w:rPr>
          <w:rFonts w:hint="eastAsia"/>
          <w:b/>
          <w:kern w:val="2"/>
          <w:sz w:val="30"/>
          <w:szCs w:val="30"/>
          <w:lang w:val="en-US" w:bidi="ar"/>
        </w:rPr>
        <w:t>（二）采深采厚比计算</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left="0" w:firstLine="600" w:firstLineChars="200"/>
        <w:jc w:val="center"/>
        <w:rPr>
          <w:rFonts w:ascii="楷体_GB2312" w:eastAsia="楷体_GB2312" w:cs="楷体_GB2312"/>
          <w:b w:val="0"/>
          <w:bCs/>
          <w:spacing w:val="0"/>
          <w:kern w:val="2"/>
          <w:sz w:val="28"/>
          <w:szCs w:val="28"/>
        </w:rPr>
      </w:pPr>
      <w:r>
        <w:rPr>
          <w:rFonts w:hint="eastAsia" w:ascii="宋体" w:hAnsi="宋体" w:cs="宋体"/>
          <w:sz w:val="30"/>
          <w:szCs w:val="30"/>
          <w:lang w:bidi="zh-CN"/>
        </w:rPr>
        <w:t xml:space="preserve">根据上述原则和煤层特点分三层计算了采深采厚比，因（8-1、9-2、9-3）、（16-1、16-2、17）煤层之间间隔小于8.00m，所以计算时叠加（8-1、9-2、9-3）、（16-1、16-2、17）煤层厚度进行计算，计算结果见煤层采深采厚比计算结果表（表2-1）。  </w:t>
      </w:r>
      <w:r>
        <w:rPr>
          <w:rFonts w:ascii="宋体" w:hAnsi="宋体" w:cs="宋体"/>
          <w:sz w:val="30"/>
          <w:szCs w:val="30"/>
          <w:lang w:bidi="zh-CN"/>
        </w:rPr>
        <w:t xml:space="preserve">         </w:t>
      </w:r>
      <w:r>
        <w:rPr>
          <w:rFonts w:ascii="宋体" w:hAnsi="宋体" w:cs="楷体_GB2312"/>
          <w:b w:val="0"/>
          <w:bCs/>
          <w:spacing w:val="0"/>
          <w:kern w:val="2"/>
          <w:sz w:val="28"/>
          <w:szCs w:val="28"/>
          <w:lang w:bidi="ar"/>
        </w:rPr>
        <w:t>龙贵分公司煤矿各煤层采深采厚比统计表</w:t>
      </w:r>
      <w:r>
        <w:rPr>
          <w:rFonts w:hint="eastAsia" w:ascii="宋体" w:hAnsi="宋体" w:cs="楷体_GB2312"/>
          <w:b w:val="0"/>
          <w:bCs/>
          <w:spacing w:val="0"/>
          <w:kern w:val="2"/>
          <w:sz w:val="28"/>
          <w:szCs w:val="28"/>
          <w:lang w:bidi="ar"/>
        </w:rPr>
        <w:t xml:space="preserve"> 表2-1</w:t>
      </w:r>
    </w:p>
    <w:tbl>
      <w:tblPr>
        <w:tblStyle w:val="11"/>
        <w:tblpPr w:leftFromText="180" w:rightFromText="180" w:vertAnchor="text" w:horzAnchor="margin" w:tblpXSpec="center" w:tblpY="90"/>
        <w:tblW w:w="9634"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18"/>
        <w:gridCol w:w="1566"/>
        <w:gridCol w:w="1486"/>
        <w:gridCol w:w="1272"/>
        <w:gridCol w:w="1566"/>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8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孔号</w:t>
            </w:r>
          </w:p>
        </w:tc>
        <w:tc>
          <w:tcPr>
            <w:tcW w:w="437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8-1、9-2、9-3</w:t>
            </w:r>
          </w:p>
        </w:tc>
        <w:tc>
          <w:tcPr>
            <w:tcW w:w="441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16-1、16-2、17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8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sz w:val="20"/>
                <w:szCs w:val="20"/>
              </w:rPr>
            </w:pP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采深（m）</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采厚m（煤层层数）</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采深采厚比</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采深（m）</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采厚m（煤层层数）</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采深采厚比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8504</w:t>
            </w: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229.46</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3.27（3）</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70.17</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293.12</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6.77 (3)</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404</w:t>
            </w: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229.77</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4.12（3）</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55.77</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287.32</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5.46 (3)</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52.62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419</w:t>
            </w: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232.95</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2.98（3）</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78.17</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293.05</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4.47 (3)</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61.82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101</w:t>
            </w: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101.82</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3.28（3）</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31.04</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161.60</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4.71 (3)</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34.31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142</w:t>
            </w: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194.34</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3.80（3）</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51.14</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270.38</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6.37 (3)</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42.45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8502</w:t>
            </w:r>
          </w:p>
        </w:tc>
        <w:tc>
          <w:tcPr>
            <w:tcW w:w="131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158.52</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2.17（3）</w:t>
            </w:r>
          </w:p>
        </w:tc>
        <w:tc>
          <w:tcPr>
            <w:tcW w:w="14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73.05</w:t>
            </w:r>
          </w:p>
        </w:tc>
        <w:tc>
          <w:tcPr>
            <w:tcW w:w="12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222.44</w:t>
            </w:r>
          </w:p>
        </w:tc>
        <w:tc>
          <w:tcPr>
            <w:tcW w:w="15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6.29 (3)</w:t>
            </w:r>
          </w:p>
        </w:tc>
        <w:tc>
          <w:tcPr>
            <w:tcW w:w="15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4"/>
                <w:szCs w:val="24"/>
              </w:rPr>
            </w:pPr>
            <w:r>
              <w:rPr>
                <w:rFonts w:hint="eastAsia" w:ascii="宋体" w:hAnsi="宋体" w:eastAsia="宋体" w:cs="宋体"/>
                <w:kern w:val="2"/>
                <w:sz w:val="24"/>
                <w:szCs w:val="24"/>
                <w:lang w:val="en-US" w:bidi="ar"/>
              </w:rPr>
              <w:t>35.36</w:t>
            </w:r>
          </w:p>
        </w:tc>
      </w:tr>
    </w:tbl>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龙贵分公司煤矿煤层埋深相对较深，煤层较稳定，结构较简单，厚度不大，煤层间隔厚度不均，顶底板岩性为软质岩和砂土，岩石力学强度较低。按照采深采厚比小于30为地面塌陷；大于30为地面沉陷的地质灾害的划分方法，由表2-1可知，各煤层采深采厚比均大于30，矿区范围内全部为地面沉陷区。</w:t>
      </w:r>
    </w:p>
    <w:p>
      <w:pPr>
        <w:keepNext w:val="0"/>
        <w:keepLines w:val="0"/>
        <w:pageBreakBefore w:val="0"/>
        <w:widowControl w:val="0"/>
        <w:kinsoku/>
        <w:wordWrap/>
        <w:overflowPunct/>
        <w:topLinePunct w:val="0"/>
        <w:autoSpaceDE w:val="0"/>
        <w:autoSpaceDN w:val="0"/>
        <w:bidi w:val="0"/>
        <w:adjustRightInd/>
        <w:snapToGrid/>
        <w:spacing w:line="600" w:lineRule="exact"/>
        <w:ind w:firstLine="602" w:firstLineChars="200"/>
        <w:jc w:val="both"/>
        <w:rPr>
          <w:b/>
          <w:kern w:val="2"/>
          <w:sz w:val="30"/>
          <w:szCs w:val="30"/>
        </w:rPr>
      </w:pPr>
      <w:r>
        <w:rPr>
          <w:rFonts w:hint="eastAsia"/>
          <w:b/>
          <w:kern w:val="2"/>
          <w:sz w:val="30"/>
          <w:szCs w:val="30"/>
          <w:lang w:val="en-US" w:bidi="ar"/>
        </w:rPr>
        <w:t>（三）地面影响半径计算</w:t>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本次采用《岩土工程勘察手册》（第三版）中“地表移动和变形的预测方法”对矿区内采空塌陷区计算预测其地表变形程度及影响范围，选用公式如下：</w:t>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最大地表影响半径r=</w:t>
      </w:r>
      <w:r>
        <w:rPr>
          <w:rFonts w:ascii="宋体" w:hAnsi="宋体" w:cs="宋体"/>
          <w:sz w:val="30"/>
          <w:szCs w:val="30"/>
        </w:rPr>
        <w:drawing>
          <wp:inline distT="0" distB="0" distL="114300" distR="114300">
            <wp:extent cx="295275" cy="419100"/>
            <wp:effectExtent l="0" t="0" r="9525" b="0"/>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10"/>
                    <a:stretch>
                      <a:fillRect/>
                    </a:stretch>
                  </pic:blipFill>
                  <pic:spPr>
                    <a:xfrm>
                      <a:off x="0" y="0"/>
                      <a:ext cx="295275" cy="419100"/>
                    </a:xfrm>
                    <a:prstGeom prst="rect">
                      <a:avLst/>
                    </a:prstGeom>
                    <a:noFill/>
                    <a:ln w="9525">
                      <a:noFill/>
                    </a:ln>
                  </pic:spPr>
                </pic:pic>
              </a:graphicData>
            </a:graphic>
          </wp:inline>
        </w:drawing>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r——地表影响半径（m）</w:t>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H——开采深度（m），取16-1号煤层最大埋深293.12m</w:t>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β——移动角，取68°</w:t>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计算结果见表4-3。</w:t>
      </w:r>
    </w:p>
    <w:p>
      <w:pPr>
        <w:pStyle w:val="23"/>
        <w:keepNext w:val="0"/>
        <w:keepLines w:val="0"/>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由表2-3可知，井田开采可能引起的最大影响半径为118.19m。</w:t>
      </w:r>
    </w:p>
    <w:p>
      <w:pPr>
        <w:ind w:firstLine="562" w:firstLineChars="200"/>
        <w:jc w:val="center"/>
        <w:rPr>
          <w:rFonts w:cs="楷体_GB2312"/>
          <w:b/>
          <w:kern w:val="2"/>
          <w:sz w:val="28"/>
          <w:szCs w:val="28"/>
        </w:rPr>
      </w:pPr>
      <w:r>
        <w:rPr>
          <w:rFonts w:hint="eastAsia"/>
          <w:b/>
          <w:kern w:val="2"/>
          <w:sz w:val="28"/>
          <w:szCs w:val="28"/>
          <w:lang w:val="en-US" w:bidi="ar"/>
        </w:rPr>
        <w:t>矿区地面最大影响半径计算表</w:t>
      </w:r>
      <w:r>
        <w:rPr>
          <w:rFonts w:cs="楷体_GB2312"/>
          <w:b/>
          <w:kern w:val="2"/>
          <w:sz w:val="28"/>
          <w:szCs w:val="28"/>
          <w:lang w:val="en-US" w:bidi="ar"/>
        </w:rPr>
        <w:t>表2-2</w:t>
      </w:r>
    </w:p>
    <w:tbl>
      <w:tblPr>
        <w:tblStyle w:val="1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35"/>
        <w:gridCol w:w="1435"/>
        <w:gridCol w:w="1435"/>
        <w:gridCol w:w="143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龙贵分公司煤矿</w:t>
            </w:r>
          </w:p>
        </w:tc>
        <w:tc>
          <w:tcPr>
            <w:tcW w:w="1435"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煤层最大埋深（m）</w:t>
            </w:r>
          </w:p>
        </w:tc>
        <w:tc>
          <w:tcPr>
            <w:tcW w:w="1435"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煤层平均厚度（m）</w:t>
            </w:r>
          </w:p>
        </w:tc>
        <w:tc>
          <w:tcPr>
            <w:tcW w:w="1435"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煤层倾角（°）</w:t>
            </w:r>
          </w:p>
        </w:tc>
        <w:tc>
          <w:tcPr>
            <w:tcW w:w="1436"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移动角β（°）</w:t>
            </w:r>
          </w:p>
        </w:tc>
        <w:tc>
          <w:tcPr>
            <w:tcW w:w="1436"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最大影响半径（m）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4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16-1</w:t>
            </w:r>
          </w:p>
        </w:tc>
        <w:tc>
          <w:tcPr>
            <w:tcW w:w="1435"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293.12</w:t>
            </w:r>
          </w:p>
        </w:tc>
        <w:tc>
          <w:tcPr>
            <w:tcW w:w="1435"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5.72</w:t>
            </w:r>
          </w:p>
        </w:tc>
        <w:tc>
          <w:tcPr>
            <w:tcW w:w="1435"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6-10</w:t>
            </w:r>
          </w:p>
        </w:tc>
        <w:tc>
          <w:tcPr>
            <w:tcW w:w="1436"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68</w:t>
            </w:r>
          </w:p>
        </w:tc>
        <w:tc>
          <w:tcPr>
            <w:tcW w:w="1436" w:type="dxa"/>
            <w:tcBorders>
              <w:top w:val="single" w:color="auto" w:sz="4" w:space="0"/>
              <w:left w:val="nil"/>
              <w:bottom w:val="single" w:color="auto" w:sz="4" w:space="0"/>
              <w:right w:val="single" w:color="auto" w:sz="4" w:space="0"/>
            </w:tcBorders>
            <w:shd w:val="clear" w:color="auto" w:fill="auto"/>
            <w:vAlign w:val="center"/>
          </w:tcPr>
          <w:p>
            <w:pPr>
              <w:jc w:val="center"/>
              <w:rPr>
                <w:kern w:val="2"/>
                <w:sz w:val="24"/>
                <w:szCs w:val="24"/>
              </w:rPr>
            </w:pPr>
            <w:r>
              <w:rPr>
                <w:rFonts w:hint="eastAsia"/>
                <w:kern w:val="2"/>
                <w:sz w:val="24"/>
                <w:szCs w:val="24"/>
                <w:lang w:val="en-US" w:bidi="ar"/>
              </w:rPr>
              <w:t>118.19</w:t>
            </w:r>
          </w:p>
        </w:tc>
      </w:tr>
    </w:tbl>
    <w:p>
      <w:pPr>
        <w:pageBreakBefore w:val="0"/>
        <w:kinsoku/>
        <w:wordWrap/>
        <w:overflowPunct/>
        <w:topLinePunct w:val="0"/>
        <w:autoSpaceDE w:val="0"/>
        <w:autoSpaceDN w:val="0"/>
        <w:bidi w:val="0"/>
        <w:adjustRightInd/>
        <w:snapToGrid/>
        <w:spacing w:line="600" w:lineRule="exact"/>
        <w:ind w:firstLine="602" w:firstLineChars="200"/>
        <w:jc w:val="both"/>
        <w:rPr>
          <w:b/>
          <w:kern w:val="2"/>
          <w:sz w:val="30"/>
          <w:szCs w:val="30"/>
        </w:rPr>
      </w:pPr>
      <w:r>
        <w:rPr>
          <w:rFonts w:hint="eastAsia"/>
          <w:b/>
          <w:kern w:val="2"/>
          <w:sz w:val="30"/>
          <w:szCs w:val="30"/>
          <w:lang w:val="en-US" w:bidi="ar"/>
        </w:rPr>
        <w:t>（四）地质灾害危险性预测</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矿区内可采煤层较多，煤层厚度较大，矿区内煤层采深采厚比在31.04～78.17m之间，预测矿区内地面沉陷地质灾害发生的可能性大，地面沉陷地质灾害危险性小—中等。</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矿区土地类型为天然草地，矿体上部无建筑物分布，地面沉陷、地裂缝地质灾害破坏岩土体的完整性，改变局部的地貌特征，加剧水土流失，可能对采矿人员形成较严重威胁，对照《矿山环境保护与综合治理方案编制规范》附录E、表E.2，采矿引发的地面沉陷地质灾害危害程度较大，隐患体处于较不稳定状态，对照《矿山环境保护与综合治理方案编制规范》附录F、表F.1，地质灾害危险性中等。</w:t>
      </w:r>
    </w:p>
    <w:p>
      <w:pPr>
        <w:pStyle w:val="4"/>
        <w:pageBreakBefore w:val="0"/>
        <w:widowControl/>
        <w:kinsoku/>
        <w:wordWrap/>
        <w:overflowPunct/>
        <w:topLinePunct w:val="0"/>
        <w:autoSpaceDE w:val="0"/>
        <w:autoSpaceDN w:val="0"/>
        <w:bidi w:val="0"/>
        <w:adjustRightInd/>
        <w:snapToGrid/>
        <w:spacing w:before="0" w:after="0" w:line="600" w:lineRule="exact"/>
        <w:ind w:firstLine="602" w:firstLineChars="200"/>
        <w:rPr>
          <w:kern w:val="2"/>
          <w:sz w:val="30"/>
          <w:szCs w:val="30"/>
        </w:rPr>
      </w:pPr>
      <w:r>
        <w:rPr>
          <w:rFonts w:hint="eastAsia"/>
          <w:kern w:val="2"/>
          <w:sz w:val="30"/>
          <w:szCs w:val="30"/>
        </w:rPr>
        <w:t>二、对土地、植被资源影响预测评估</w:t>
      </w:r>
    </w:p>
    <w:p>
      <w:pPr>
        <w:pageBreakBefore w:val="0"/>
        <w:kinsoku/>
        <w:wordWrap/>
        <w:overflowPunct/>
        <w:topLinePunct w:val="0"/>
        <w:autoSpaceDE w:val="0"/>
        <w:autoSpaceDN w:val="0"/>
        <w:bidi w:val="0"/>
        <w:adjustRightInd/>
        <w:snapToGrid/>
        <w:spacing w:line="600" w:lineRule="exact"/>
        <w:ind w:firstLine="562" w:firstLineChars="200"/>
        <w:jc w:val="both"/>
        <w:rPr>
          <w:b/>
          <w:spacing w:val="-10"/>
          <w:kern w:val="2"/>
          <w:sz w:val="30"/>
          <w:szCs w:val="30"/>
        </w:rPr>
      </w:pPr>
      <w:r>
        <w:rPr>
          <w:rFonts w:hint="eastAsia"/>
          <w:b/>
          <w:spacing w:val="-10"/>
          <w:kern w:val="2"/>
          <w:sz w:val="30"/>
          <w:szCs w:val="30"/>
          <w:lang w:val="en-US" w:bidi="ar"/>
        </w:rPr>
        <w:t>1、主要工程建设占地</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依据该矿的《可行性研究报告》可知，该矿为新建矿山，设计新建主副井工业场地、贮煤场、贮渣场和矿区道路等工程。</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color w:val="0000FF"/>
          <w:sz w:val="30"/>
          <w:szCs w:val="30"/>
          <w:lang w:bidi="zh-CN"/>
        </w:rPr>
      </w:pPr>
      <w:r>
        <w:rPr>
          <w:rFonts w:hint="eastAsia" w:ascii="宋体" w:hAnsi="宋体" w:cs="宋体"/>
          <w:color w:val="0000FF"/>
          <w:sz w:val="30"/>
          <w:szCs w:val="30"/>
          <w:lang w:bidi="zh-CN"/>
        </w:rPr>
        <w:t>1、主副井工业场地：占地面积为0.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0847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，破坏土地植被面积为0.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0847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color w:val="0000FF"/>
          <w:sz w:val="30"/>
          <w:szCs w:val="30"/>
          <w:lang w:bidi="zh-CN"/>
        </w:rPr>
      </w:pPr>
      <w:r>
        <w:rPr>
          <w:rFonts w:hint="eastAsia" w:ascii="宋体" w:hAnsi="宋体" w:cs="宋体"/>
          <w:color w:val="0000FF"/>
          <w:sz w:val="30"/>
          <w:szCs w:val="30"/>
          <w:lang w:bidi="zh-CN"/>
        </w:rPr>
        <w:t>2、贮煤场：占地面积为0.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06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，破坏土地面积为0.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06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color w:val="0000FF"/>
          <w:sz w:val="30"/>
          <w:szCs w:val="30"/>
          <w:lang w:bidi="zh-CN"/>
        </w:rPr>
      </w:pPr>
      <w:r>
        <w:rPr>
          <w:rFonts w:hint="eastAsia" w:ascii="宋体" w:hAnsi="宋体" w:cs="宋体"/>
          <w:color w:val="0000FF"/>
          <w:sz w:val="30"/>
          <w:szCs w:val="30"/>
          <w:lang w:bidi="zh-CN"/>
        </w:rPr>
        <w:t>3、贮渣场：占地面积为0.</w:t>
      </w:r>
      <w:r>
        <w:rPr>
          <w:rFonts w:hint="eastAsia" w:ascii="宋体" w:hAnsi="宋体" w:cs="宋体"/>
          <w:color w:val="0000FF"/>
          <w:sz w:val="30"/>
          <w:szCs w:val="30"/>
          <w:lang w:val="en-US" w:bidi="zh-CN"/>
        </w:rPr>
        <w:t>00</w:t>
      </w:r>
      <w:r>
        <w:rPr>
          <w:rFonts w:hint="eastAsia" w:ascii="宋体" w:hAnsi="宋体" w:cs="宋体"/>
          <w:color w:val="0000FF"/>
          <w:sz w:val="30"/>
          <w:szCs w:val="30"/>
          <w:lang w:bidi="zh-CN"/>
        </w:rPr>
        <w:t>2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，破坏土地面积为0.</w:t>
      </w:r>
      <w:r>
        <w:rPr>
          <w:rFonts w:hint="eastAsia" w:ascii="宋体" w:hAnsi="宋体" w:cs="宋体"/>
          <w:color w:val="0000FF"/>
          <w:sz w:val="30"/>
          <w:szCs w:val="30"/>
          <w:lang w:val="en-US" w:bidi="zh-CN"/>
        </w:rPr>
        <w:t>00</w:t>
      </w:r>
      <w:r>
        <w:rPr>
          <w:rFonts w:hint="eastAsia" w:ascii="宋体" w:hAnsi="宋体" w:cs="宋体"/>
          <w:color w:val="0000FF"/>
          <w:sz w:val="30"/>
          <w:szCs w:val="30"/>
          <w:lang w:bidi="zh-CN"/>
        </w:rPr>
        <w:t>2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ascii="宋体" w:hAnsi="宋体" w:cs="宋体"/>
          <w:color w:val="0000FF"/>
          <w:sz w:val="30"/>
          <w:szCs w:val="30"/>
          <w:lang w:bidi="zh-CN"/>
        </w:rPr>
      </w:pPr>
      <w:r>
        <w:rPr>
          <w:rFonts w:hint="eastAsia" w:ascii="宋体" w:hAnsi="宋体" w:cs="宋体"/>
          <w:color w:val="0000FF"/>
          <w:sz w:val="30"/>
          <w:szCs w:val="30"/>
          <w:lang w:bidi="zh-CN"/>
        </w:rPr>
        <w:t>4、矿区道路：占地0.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077km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hint="eastAsia" w:ascii="宋体" w:hAnsi="宋体" w:cs="宋体"/>
          <w:color w:val="0000FF"/>
          <w:sz w:val="30"/>
          <w:szCs w:val="30"/>
          <w:lang w:bidi="zh-CN"/>
        </w:rPr>
      </w:pPr>
      <w:r>
        <w:rPr>
          <w:rFonts w:hint="eastAsia" w:ascii="宋体" w:hAnsi="宋体" w:cs="宋体"/>
          <w:color w:val="0000FF"/>
          <w:sz w:val="30"/>
          <w:szCs w:val="30"/>
          <w:lang w:bidi="zh-CN"/>
        </w:rPr>
        <w:t>矿区工程建设总占地0.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3524km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，属农用地中的荒草地。详见工程占地一览表2-1</w:t>
      </w: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hint="eastAsia" w:ascii="宋体" w:hAnsi="宋体" w:cs="宋体"/>
          <w:sz w:val="30"/>
          <w:szCs w:val="30"/>
          <w:lang w:bidi="zh-CN"/>
        </w:rPr>
      </w:pPr>
    </w:p>
    <w:p>
      <w:pPr>
        <w:pStyle w:val="23"/>
        <w:pageBreakBefore w:val="0"/>
        <w:widowControl w:val="0"/>
        <w:kinsoku/>
        <w:wordWrap/>
        <w:overflowPunct/>
        <w:topLinePunct w:val="0"/>
        <w:autoSpaceDE w:val="0"/>
        <w:autoSpaceDN w:val="0"/>
        <w:bidi w:val="0"/>
        <w:adjustRightInd/>
        <w:snapToGrid/>
        <w:spacing w:beforeAutospacing="0" w:afterAutospacing="0" w:line="600" w:lineRule="exact"/>
        <w:ind w:firstLine="600" w:firstLineChars="200"/>
        <w:jc w:val="both"/>
        <w:rPr>
          <w:rFonts w:hint="eastAsia" w:ascii="宋体" w:hAnsi="宋体" w:cs="宋体"/>
          <w:sz w:val="30"/>
          <w:szCs w:val="30"/>
          <w:lang w:bidi="zh-CN"/>
        </w:rPr>
      </w:pPr>
    </w:p>
    <w:p>
      <w:pPr>
        <w:spacing w:line="360" w:lineRule="auto"/>
        <w:ind w:firstLine="560" w:firstLineChars="200"/>
        <w:jc w:val="both"/>
        <w:rPr>
          <w:b/>
          <w:kern w:val="2"/>
          <w:sz w:val="28"/>
          <w:szCs w:val="28"/>
        </w:rPr>
      </w:pPr>
      <w:r>
        <w:rPr>
          <w:rFonts w:hint="eastAsia"/>
          <w:kern w:val="2"/>
          <w:sz w:val="28"/>
          <w:szCs w:val="28"/>
          <w:lang w:val="en-US" w:bidi="ar"/>
        </w:rPr>
        <w:t xml:space="preserve">              </w:t>
      </w:r>
      <w:r>
        <w:rPr>
          <w:rFonts w:hint="eastAsia"/>
          <w:b/>
          <w:kern w:val="2"/>
          <w:sz w:val="28"/>
          <w:szCs w:val="28"/>
          <w:lang w:val="en-US" w:bidi="ar"/>
        </w:rPr>
        <w:t>工程占地面积一览表       表2-1</w:t>
      </w:r>
    </w:p>
    <w:tbl>
      <w:tblPr>
        <w:tblStyle w:val="12"/>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3561"/>
        <w:gridCol w:w="1647"/>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建设内容</w:t>
            </w:r>
          </w:p>
        </w:tc>
        <w:tc>
          <w:tcPr>
            <w:tcW w:w="3561"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420" w:firstLineChars="200"/>
              <w:jc w:val="center"/>
              <w:textAlignment w:val="auto"/>
              <w:rPr>
                <w:rFonts w:ascii="宋体" w:hAnsi="宋体" w:cs="宋体"/>
                <w:sz w:val="21"/>
                <w:szCs w:val="21"/>
              </w:rPr>
            </w:pPr>
            <w:r>
              <w:rPr>
                <w:rFonts w:hint="eastAsia" w:ascii="宋体" w:hAnsi="宋体" w:cs="宋体"/>
                <w:sz w:val="21"/>
                <w:szCs w:val="21"/>
              </w:rPr>
              <w:t>占 地 面 积（km</w:t>
            </w:r>
            <w:r>
              <w:rPr>
                <w:rFonts w:hint="eastAsia" w:ascii="宋体" w:hAnsi="宋体" w:cs="宋体"/>
                <w:sz w:val="21"/>
                <w:szCs w:val="21"/>
                <w:vertAlign w:val="superscript"/>
              </w:rPr>
              <w:t>2</w:t>
            </w:r>
            <w:r>
              <w:rPr>
                <w:rFonts w:hint="eastAsia" w:ascii="宋体" w:hAnsi="宋体" w:cs="宋体"/>
                <w:sz w:val="21"/>
                <w:szCs w:val="21"/>
              </w:rPr>
              <w:t>）</w:t>
            </w:r>
          </w:p>
        </w:tc>
        <w:tc>
          <w:tcPr>
            <w:tcW w:w="1647" w:type="dxa"/>
            <w:vMerge w:val="restart"/>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420" w:firstLineChars="200"/>
              <w:jc w:val="center"/>
              <w:textAlignment w:val="auto"/>
              <w:rPr>
                <w:rFonts w:ascii="宋体" w:hAnsi="宋体" w:cs="宋体"/>
                <w:sz w:val="21"/>
                <w:szCs w:val="21"/>
              </w:rPr>
            </w:pPr>
          </w:p>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占总面积（1.771 km</w:t>
            </w:r>
            <w:r>
              <w:rPr>
                <w:rFonts w:hint="eastAsia" w:ascii="宋体" w:hAnsi="宋体" w:cs="宋体"/>
                <w:sz w:val="21"/>
                <w:szCs w:val="21"/>
                <w:vertAlign w:val="superscript"/>
              </w:rPr>
              <w:t>2</w:t>
            </w:r>
            <w:r>
              <w:rPr>
                <w:rFonts w:hint="eastAsia" w:ascii="宋体" w:hAnsi="宋体" w:cs="宋体"/>
                <w:sz w:val="21"/>
                <w:szCs w:val="21"/>
              </w:rPr>
              <w:t>）</w:t>
            </w:r>
          </w:p>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w:t>
            </w:r>
          </w:p>
        </w:tc>
        <w:tc>
          <w:tcPr>
            <w:tcW w:w="1647" w:type="dxa"/>
            <w:vMerge w:val="restart"/>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0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ind w:firstLine="420" w:firstLineChars="200"/>
              <w:jc w:val="center"/>
              <w:textAlignment w:val="auto"/>
              <w:rPr>
                <w:rFonts w:ascii="Times New Roman" w:hAnsi="Times New Roman" w:cs="Times New Roman"/>
                <w:sz w:val="21"/>
                <w:szCs w:val="21"/>
              </w:rPr>
            </w:pPr>
          </w:p>
        </w:tc>
        <w:tc>
          <w:tcPr>
            <w:tcW w:w="3561"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pacing w:val="-10"/>
                <w:sz w:val="21"/>
                <w:szCs w:val="21"/>
              </w:rPr>
              <w:t>建设工程</w:t>
            </w:r>
          </w:p>
        </w:tc>
        <w:tc>
          <w:tcPr>
            <w:tcW w:w="1647"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ind w:firstLine="420" w:firstLineChars="200"/>
              <w:jc w:val="center"/>
              <w:textAlignment w:val="auto"/>
              <w:rPr>
                <w:rFonts w:ascii="Times New Roman" w:hAnsi="Times New Roman" w:cs="Times New Roman"/>
                <w:sz w:val="21"/>
                <w:szCs w:val="21"/>
              </w:rPr>
            </w:pPr>
          </w:p>
        </w:tc>
        <w:tc>
          <w:tcPr>
            <w:tcW w:w="1647"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ind w:firstLine="420" w:firstLineChars="200"/>
              <w:jc w:val="center"/>
              <w:textAlignment w:val="auto"/>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主副井工业场地</w:t>
            </w:r>
          </w:p>
        </w:tc>
        <w:tc>
          <w:tcPr>
            <w:tcW w:w="35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ind w:firstLine="0" w:firstLineChars="0"/>
              <w:jc w:val="center"/>
              <w:textAlignment w:val="auto"/>
              <w:rPr>
                <w:color w:val="0000FF"/>
                <w:kern w:val="2"/>
                <w:sz w:val="21"/>
                <w:szCs w:val="21"/>
              </w:rPr>
            </w:pPr>
            <w:r>
              <w:rPr>
                <w:rFonts w:hint="eastAsia"/>
                <w:color w:val="0000FF"/>
                <w:kern w:val="2"/>
                <w:sz w:val="21"/>
                <w:szCs w:val="21"/>
                <w:lang w:val="en-US" w:bidi="ar"/>
              </w:rPr>
              <w:t>0.</w:t>
            </w:r>
            <w:r>
              <w:rPr>
                <w:rFonts w:hint="eastAsia"/>
                <w:color w:val="0000FF"/>
                <w:kern w:val="2"/>
                <w:sz w:val="21"/>
                <w:szCs w:val="21"/>
                <w:lang w:val="en-US" w:eastAsia="zh-CN" w:bidi="ar"/>
              </w:rPr>
              <w:t>0</w:t>
            </w:r>
            <w:r>
              <w:rPr>
                <w:rFonts w:hint="eastAsia"/>
                <w:color w:val="0000FF"/>
                <w:kern w:val="2"/>
                <w:sz w:val="21"/>
                <w:szCs w:val="21"/>
                <w:lang w:val="en-US" w:bidi="ar"/>
              </w:rPr>
              <w:t>0847</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hint="default" w:ascii="宋体" w:hAnsi="宋体" w:eastAsia="宋体" w:cs="宋体"/>
                <w:color w:val="0000FF"/>
                <w:sz w:val="21"/>
                <w:szCs w:val="21"/>
                <w:lang w:val="en-US" w:eastAsia="zh-CN"/>
              </w:rPr>
            </w:pPr>
            <w:r>
              <w:rPr>
                <w:rFonts w:hint="eastAsia" w:ascii="宋体" w:hAnsi="宋体" w:cs="宋体"/>
                <w:color w:val="0000FF"/>
                <w:sz w:val="21"/>
                <w:szCs w:val="21"/>
                <w:lang w:val="en-US" w:eastAsia="zh-CN"/>
              </w:rPr>
              <w:t>0.00478</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天然荒草地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贮煤场</w:t>
            </w:r>
          </w:p>
        </w:tc>
        <w:tc>
          <w:tcPr>
            <w:tcW w:w="35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ind w:firstLine="0" w:firstLineChars="0"/>
              <w:jc w:val="center"/>
              <w:textAlignment w:val="auto"/>
              <w:rPr>
                <w:color w:val="0000FF"/>
                <w:kern w:val="2"/>
                <w:sz w:val="21"/>
                <w:szCs w:val="21"/>
              </w:rPr>
            </w:pPr>
            <w:r>
              <w:rPr>
                <w:rFonts w:hint="eastAsia"/>
                <w:color w:val="0000FF"/>
                <w:kern w:val="2"/>
                <w:sz w:val="21"/>
                <w:szCs w:val="21"/>
                <w:lang w:val="en-US" w:bidi="ar"/>
              </w:rPr>
              <w:t>0.</w:t>
            </w:r>
            <w:r>
              <w:rPr>
                <w:rFonts w:hint="eastAsia"/>
                <w:color w:val="0000FF"/>
                <w:kern w:val="2"/>
                <w:sz w:val="21"/>
                <w:szCs w:val="21"/>
                <w:lang w:val="en-US" w:eastAsia="zh-CN" w:bidi="ar"/>
              </w:rPr>
              <w:t>0</w:t>
            </w:r>
            <w:r>
              <w:rPr>
                <w:rFonts w:hint="eastAsia"/>
                <w:color w:val="0000FF"/>
                <w:kern w:val="2"/>
                <w:sz w:val="21"/>
                <w:szCs w:val="21"/>
                <w:lang w:val="en-US" w:bidi="ar"/>
              </w:rPr>
              <w:t>06</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hint="default" w:ascii="宋体" w:hAnsi="宋体" w:eastAsia="宋体" w:cs="宋体"/>
                <w:color w:val="0000FF"/>
                <w:sz w:val="21"/>
                <w:szCs w:val="21"/>
                <w:lang w:val="en-US" w:eastAsia="zh-CN"/>
              </w:rPr>
            </w:pPr>
            <w:r>
              <w:rPr>
                <w:rFonts w:hint="eastAsia" w:ascii="宋体" w:hAnsi="宋体" w:cs="宋体"/>
                <w:color w:val="0000FF"/>
                <w:sz w:val="21"/>
                <w:szCs w:val="21"/>
                <w:lang w:val="en-US" w:eastAsia="zh-CN"/>
              </w:rPr>
              <w:t>0.00339</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天然荒草地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贮渣场</w:t>
            </w:r>
          </w:p>
        </w:tc>
        <w:tc>
          <w:tcPr>
            <w:tcW w:w="35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ind w:firstLine="0" w:firstLineChars="0"/>
              <w:jc w:val="center"/>
              <w:textAlignment w:val="auto"/>
              <w:rPr>
                <w:color w:val="0000FF"/>
                <w:kern w:val="2"/>
                <w:sz w:val="21"/>
                <w:szCs w:val="21"/>
              </w:rPr>
            </w:pPr>
            <w:r>
              <w:rPr>
                <w:rFonts w:hint="eastAsia"/>
                <w:color w:val="0000FF"/>
                <w:kern w:val="2"/>
                <w:sz w:val="21"/>
                <w:szCs w:val="21"/>
                <w:lang w:val="en-US" w:bidi="ar"/>
              </w:rPr>
              <w:t>0.</w:t>
            </w:r>
            <w:r>
              <w:rPr>
                <w:rFonts w:hint="eastAsia"/>
                <w:color w:val="0000FF"/>
                <w:kern w:val="2"/>
                <w:sz w:val="21"/>
                <w:szCs w:val="21"/>
                <w:lang w:val="en-US" w:eastAsia="zh-CN" w:bidi="ar"/>
              </w:rPr>
              <w:t>00</w:t>
            </w:r>
            <w:r>
              <w:rPr>
                <w:rFonts w:hint="eastAsia"/>
                <w:color w:val="0000FF"/>
                <w:kern w:val="2"/>
                <w:sz w:val="21"/>
                <w:szCs w:val="21"/>
                <w:lang w:val="en-US" w:bidi="ar"/>
              </w:rPr>
              <w:t>2</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hint="default" w:ascii="宋体" w:hAnsi="宋体" w:eastAsia="宋体" w:cs="宋体"/>
                <w:color w:val="0000FF"/>
                <w:sz w:val="21"/>
                <w:szCs w:val="21"/>
                <w:lang w:val="en-US" w:eastAsia="zh-CN"/>
              </w:rPr>
            </w:pPr>
            <w:r>
              <w:rPr>
                <w:rFonts w:hint="eastAsia" w:ascii="宋体" w:hAnsi="宋体" w:cs="宋体"/>
                <w:color w:val="0000FF"/>
                <w:sz w:val="21"/>
                <w:szCs w:val="21"/>
                <w:lang w:val="en-US" w:eastAsia="zh-CN"/>
              </w:rPr>
              <w:t>0.001129</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天然荒草地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矿区道路</w:t>
            </w:r>
          </w:p>
        </w:tc>
        <w:tc>
          <w:tcPr>
            <w:tcW w:w="3561"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color w:val="0000FF"/>
                <w:sz w:val="21"/>
                <w:szCs w:val="21"/>
              </w:rPr>
            </w:pPr>
            <w:r>
              <w:rPr>
                <w:rFonts w:hint="eastAsia" w:ascii="宋体" w:hAnsi="宋体" w:cs="宋体"/>
                <w:color w:val="0000FF"/>
                <w:sz w:val="21"/>
                <w:szCs w:val="21"/>
              </w:rPr>
              <w:t>0.</w:t>
            </w:r>
            <w:r>
              <w:rPr>
                <w:rFonts w:hint="eastAsia" w:ascii="宋体" w:hAnsi="宋体" w:cs="宋体"/>
                <w:color w:val="0000FF"/>
                <w:sz w:val="21"/>
                <w:szCs w:val="21"/>
                <w:lang w:val="en-US" w:eastAsia="zh-CN"/>
              </w:rPr>
              <w:t>0</w:t>
            </w:r>
            <w:r>
              <w:rPr>
                <w:rFonts w:hint="eastAsia" w:ascii="宋体" w:hAnsi="宋体" w:cs="宋体"/>
                <w:color w:val="0000FF"/>
                <w:sz w:val="21"/>
                <w:szCs w:val="21"/>
              </w:rPr>
              <w:t>077</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hint="default" w:ascii="宋体" w:hAnsi="宋体" w:eastAsia="宋体" w:cs="宋体"/>
                <w:color w:val="0000FF"/>
                <w:sz w:val="21"/>
                <w:szCs w:val="21"/>
                <w:lang w:val="en-US" w:eastAsia="zh-CN"/>
              </w:rPr>
            </w:pPr>
            <w:r>
              <w:rPr>
                <w:rFonts w:hint="eastAsia" w:ascii="宋体" w:hAnsi="宋体" w:cs="宋体"/>
                <w:color w:val="0000FF"/>
                <w:sz w:val="21"/>
                <w:szCs w:val="21"/>
                <w:lang w:val="en-US" w:eastAsia="zh-CN"/>
              </w:rPr>
              <w:t>0.004348</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天然荒草地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0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630" w:firstLineChars="300"/>
              <w:jc w:val="center"/>
              <w:textAlignment w:val="auto"/>
              <w:rPr>
                <w:rFonts w:ascii="宋体" w:hAnsi="宋体" w:cs="宋体"/>
                <w:sz w:val="21"/>
                <w:szCs w:val="21"/>
              </w:rPr>
            </w:pPr>
            <w:r>
              <w:rPr>
                <w:rFonts w:hint="eastAsia" w:ascii="宋体" w:hAnsi="宋体" w:cs="宋体"/>
                <w:sz w:val="21"/>
                <w:szCs w:val="21"/>
              </w:rPr>
              <w:t>总 计</w:t>
            </w:r>
          </w:p>
        </w:tc>
        <w:tc>
          <w:tcPr>
            <w:tcW w:w="3561"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ascii="宋体" w:hAnsi="宋体" w:cs="宋体"/>
                <w:color w:val="0000FF"/>
                <w:sz w:val="21"/>
                <w:szCs w:val="21"/>
              </w:rPr>
            </w:pPr>
            <w:r>
              <w:rPr>
                <w:rFonts w:hint="eastAsia" w:ascii="宋体" w:hAnsi="宋体" w:cs="宋体"/>
                <w:color w:val="0000FF"/>
                <w:sz w:val="21"/>
                <w:szCs w:val="21"/>
              </w:rPr>
              <w:t>0.</w:t>
            </w:r>
            <w:r>
              <w:rPr>
                <w:rFonts w:hint="eastAsia" w:ascii="宋体" w:hAnsi="宋体" w:cs="宋体"/>
                <w:color w:val="0000FF"/>
                <w:sz w:val="21"/>
                <w:szCs w:val="21"/>
                <w:lang w:val="en-US" w:eastAsia="zh-CN"/>
              </w:rPr>
              <w:t>0</w:t>
            </w:r>
            <w:r>
              <w:rPr>
                <w:rFonts w:hint="eastAsia" w:ascii="宋体" w:hAnsi="宋体" w:cs="宋体"/>
                <w:color w:val="0000FF"/>
                <w:sz w:val="21"/>
                <w:szCs w:val="21"/>
              </w:rPr>
              <w:t>3524</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0" w:firstLineChars="0"/>
              <w:jc w:val="center"/>
              <w:textAlignment w:val="auto"/>
              <w:rPr>
                <w:rFonts w:hint="default" w:ascii="宋体" w:hAnsi="宋体" w:eastAsia="宋体" w:cs="宋体"/>
                <w:color w:val="0000FF"/>
                <w:sz w:val="21"/>
                <w:szCs w:val="21"/>
                <w:lang w:val="en-US" w:eastAsia="zh-CN"/>
              </w:rPr>
            </w:pPr>
            <w:r>
              <w:rPr>
                <w:rFonts w:hint="eastAsia" w:ascii="宋体" w:hAnsi="宋体" w:cs="宋体"/>
                <w:color w:val="0000FF"/>
                <w:sz w:val="21"/>
                <w:szCs w:val="21"/>
                <w:lang w:val="en-US" w:eastAsia="zh-CN"/>
              </w:rPr>
              <w:t>0.0199</w:t>
            </w:r>
          </w:p>
        </w:tc>
        <w:tc>
          <w:tcPr>
            <w:tcW w:w="1647" w:type="dxa"/>
            <w:tcBorders>
              <w:top w:val="single" w:color="auto" w:sz="4" w:space="0"/>
              <w:left w:val="nil"/>
              <w:bottom w:val="single" w:color="auto" w:sz="4" w:space="0"/>
              <w:right w:val="single" w:color="auto" w:sz="4" w:space="0"/>
            </w:tcBorders>
            <w:shd w:val="clear" w:color="auto" w:fill="auto"/>
            <w:vAlign w:val="center"/>
          </w:tcPr>
          <w:p>
            <w:pPr>
              <w:pStyle w:val="5"/>
              <w:keepNext w:val="0"/>
              <w:keepLines w:val="0"/>
              <w:pageBreakBefore w:val="0"/>
              <w:widowControl/>
              <w:kinsoku/>
              <w:wordWrap/>
              <w:overflowPunct/>
              <w:topLinePunct w:val="0"/>
              <w:autoSpaceDE w:val="0"/>
              <w:autoSpaceDN w:val="0"/>
              <w:bidi w:val="0"/>
              <w:adjustRightInd/>
              <w:spacing w:line="240" w:lineRule="auto"/>
              <w:ind w:firstLine="420" w:firstLineChars="200"/>
              <w:jc w:val="center"/>
              <w:textAlignment w:val="auto"/>
              <w:rPr>
                <w:rFonts w:ascii="宋体" w:hAnsi="宋体" w:cs="宋体"/>
                <w:sz w:val="21"/>
                <w:szCs w:val="21"/>
              </w:rPr>
            </w:pPr>
          </w:p>
        </w:tc>
      </w:tr>
    </w:tbl>
    <w:p>
      <w:pPr>
        <w:spacing w:line="640" w:lineRule="exact"/>
        <w:ind w:firstLine="602" w:firstLineChars="200"/>
        <w:jc w:val="both"/>
        <w:rPr>
          <w:b/>
          <w:kern w:val="2"/>
          <w:sz w:val="30"/>
          <w:szCs w:val="30"/>
        </w:rPr>
      </w:pPr>
      <w:r>
        <w:rPr>
          <w:rFonts w:hint="eastAsia"/>
          <w:b/>
          <w:kern w:val="2"/>
          <w:sz w:val="30"/>
          <w:szCs w:val="30"/>
          <w:lang w:val="en-US" w:bidi="ar"/>
        </w:rPr>
        <w:t>2、占用和破坏土地预测评估</w:t>
      </w:r>
    </w:p>
    <w:p>
      <w:pPr>
        <w:pStyle w:val="23"/>
        <w:widowControl w:val="0"/>
        <w:spacing w:beforeAutospacing="0" w:afterAutospacing="0" w:line="640" w:lineRule="exact"/>
        <w:ind w:firstLine="600" w:firstLineChars="200"/>
        <w:jc w:val="both"/>
        <w:rPr>
          <w:rFonts w:ascii="宋体" w:hAnsi="宋体" w:cs="宋体"/>
          <w:sz w:val="30"/>
          <w:szCs w:val="30"/>
          <w:lang w:bidi="zh-CN"/>
        </w:rPr>
      </w:pPr>
      <w:r>
        <w:rPr>
          <w:rFonts w:hint="eastAsia" w:ascii="宋体" w:hAnsi="宋体" w:cs="宋体"/>
          <w:color w:val="0000FF"/>
          <w:sz w:val="30"/>
          <w:szCs w:val="30"/>
          <w:lang w:bidi="zh-CN"/>
        </w:rPr>
        <w:t>矿山建设过程中共占用土地0.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3524 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，共破坏土地0.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3524km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；井下开采后预测引发的地面沉陷区面积1.7771k</w:t>
      </w:r>
      <w:r>
        <w:rPr>
          <w:rFonts w:ascii="宋体" w:hAnsi="宋体" w:cs="宋体"/>
          <w:color w:val="0000FF"/>
          <w:sz w:val="30"/>
          <w:szCs w:val="30"/>
          <w:lang w:bidi="zh-CN"/>
        </w:rPr>
        <w:t>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，根据内蒙地区的实际情况，实际发生地面沉陷面积为预测面积的十分之一，沉陷面积约为0.2 k</w:t>
      </w:r>
      <w:r>
        <w:rPr>
          <w:rFonts w:ascii="宋体" w:hAnsi="宋体" w:cs="宋体"/>
          <w:color w:val="0000FF"/>
          <w:sz w:val="30"/>
          <w:szCs w:val="30"/>
          <w:lang w:bidi="zh-CN"/>
        </w:rPr>
        <w:t>m</w:t>
      </w:r>
      <w:r>
        <w:rPr>
          <w:rFonts w:hint="eastAsia" w:ascii="宋体" w:hAnsi="宋体" w:cs="宋体"/>
          <w:color w:val="0000FF"/>
          <w:sz w:val="30"/>
          <w:szCs w:val="30"/>
          <w:vertAlign w:val="superscript"/>
          <w:lang w:bidi="zh-CN"/>
        </w:rPr>
        <w:t>2</w:t>
      </w:r>
      <w:r>
        <w:rPr>
          <w:rFonts w:hint="eastAsia" w:ascii="宋体" w:hAnsi="宋体" w:cs="宋体"/>
          <w:color w:val="0000FF"/>
          <w:sz w:val="30"/>
          <w:szCs w:val="30"/>
          <w:lang w:bidi="zh-CN"/>
        </w:rPr>
        <w:t>。因此，预测矿区破坏的土地总面积为0.</w:t>
      </w:r>
      <w:r>
        <w:rPr>
          <w:rFonts w:hint="eastAsia" w:ascii="宋体" w:hAnsi="宋体" w:cs="宋体"/>
          <w:color w:val="0000FF"/>
          <w:sz w:val="30"/>
          <w:szCs w:val="30"/>
          <w:lang w:val="en-US" w:bidi="zh-CN"/>
        </w:rPr>
        <w:t>0</w:t>
      </w:r>
      <w:r>
        <w:rPr>
          <w:rFonts w:hint="eastAsia" w:ascii="宋体" w:hAnsi="宋体" w:cs="宋体"/>
          <w:color w:val="0000FF"/>
          <w:sz w:val="30"/>
          <w:szCs w:val="30"/>
          <w:lang w:bidi="zh-CN"/>
        </w:rPr>
        <w:t>5524km</w:t>
      </w:r>
      <w:bookmarkStart w:id="54" w:name="_GoBack"/>
      <w:r>
        <w:rPr>
          <w:rFonts w:hint="eastAsia" w:ascii="宋体" w:hAnsi="宋体" w:cs="宋体"/>
          <w:color w:val="0000FF"/>
          <w:sz w:val="30"/>
          <w:szCs w:val="30"/>
          <w:vertAlign w:val="superscript"/>
          <w:lang w:bidi="zh-CN"/>
        </w:rPr>
        <w:t>2</w:t>
      </w:r>
      <w:bookmarkEnd w:id="54"/>
      <w:r>
        <w:rPr>
          <w:rFonts w:hint="eastAsia" w:ascii="宋体" w:hAnsi="宋体" w:cs="宋体"/>
          <w:color w:val="0000FF"/>
          <w:sz w:val="30"/>
          <w:szCs w:val="30"/>
          <w:lang w:bidi="zh-CN"/>
        </w:rPr>
        <w:t>。破坏的土地类型为荒草地。对照《编制规范》附录E、表</w:t>
      </w:r>
      <w:r>
        <w:rPr>
          <w:rFonts w:ascii="宋体" w:hAnsi="宋体" w:cs="宋体"/>
          <w:color w:val="0000FF"/>
          <w:sz w:val="30"/>
          <w:szCs w:val="30"/>
          <w:lang w:bidi="zh-CN"/>
        </w:rPr>
        <w:t>E.1</w:t>
      </w:r>
      <w:r>
        <w:rPr>
          <w:rFonts w:hint="eastAsia" w:ascii="宋体" w:hAnsi="宋体" w:cs="宋体"/>
          <w:color w:val="0000FF"/>
          <w:sz w:val="30"/>
          <w:szCs w:val="30"/>
          <w:lang w:bidi="zh-CN"/>
        </w:rPr>
        <w:t>，矿业活动对土地资源的影响程度较轻。</w:t>
      </w:r>
    </w:p>
    <w:p>
      <w:pPr>
        <w:pStyle w:val="4"/>
        <w:keepNext w:val="0"/>
        <w:keepLines w:val="0"/>
        <w:suppressLineNumbers/>
        <w:spacing w:before="0" w:after="0" w:line="640" w:lineRule="exact"/>
        <w:ind w:firstLine="590" w:firstLineChars="196"/>
        <w:rPr>
          <w:kern w:val="2"/>
          <w:sz w:val="30"/>
          <w:szCs w:val="30"/>
        </w:rPr>
      </w:pPr>
      <w:bookmarkStart w:id="47" w:name="_Toc133146623"/>
      <w:bookmarkEnd w:id="47"/>
      <w:r>
        <w:rPr>
          <w:rFonts w:hint="eastAsia"/>
          <w:kern w:val="2"/>
          <w:sz w:val="30"/>
          <w:szCs w:val="30"/>
        </w:rPr>
        <w:t>三、矿山开采对矿区及区域水资源、水环境的影响预测评估</w:t>
      </w:r>
    </w:p>
    <w:p>
      <w:pPr>
        <w:spacing w:line="640" w:lineRule="exact"/>
        <w:jc w:val="both"/>
        <w:rPr>
          <w:sz w:val="30"/>
          <w:szCs w:val="30"/>
        </w:rPr>
      </w:pPr>
      <w:r>
        <w:rPr>
          <w:rFonts w:hint="eastAsia"/>
          <w:kern w:val="2"/>
          <w:sz w:val="30"/>
          <w:szCs w:val="30"/>
          <w:lang w:val="en-US" w:bidi="ar"/>
        </w:rPr>
        <w:t xml:space="preserve">   </w:t>
      </w:r>
      <w:r>
        <w:rPr>
          <w:rFonts w:hint="eastAsia"/>
          <w:sz w:val="30"/>
          <w:szCs w:val="30"/>
          <w:lang w:val="en-US"/>
        </w:rPr>
        <w:t xml:space="preserve"> 矿山开采过程中，预测对水资源、水环境的影响主要表现为矿坑排水。由于排水量较小，矿山开采，对水资源、水环境的影响较小，对照《编制规范》附录E、表E.1，预测采矿对水资源、水环境程度较轻。</w:t>
      </w:r>
    </w:p>
    <w:p>
      <w:pPr>
        <w:pStyle w:val="4"/>
        <w:widowControl/>
        <w:spacing w:before="0" w:after="0" w:line="640" w:lineRule="exact"/>
        <w:ind w:firstLine="590" w:firstLineChars="196"/>
        <w:rPr>
          <w:kern w:val="2"/>
          <w:sz w:val="30"/>
          <w:szCs w:val="30"/>
        </w:rPr>
      </w:pPr>
      <w:r>
        <w:rPr>
          <w:rFonts w:hint="eastAsia"/>
          <w:kern w:val="2"/>
          <w:sz w:val="30"/>
          <w:szCs w:val="30"/>
        </w:rPr>
        <w:t>四、 矿山环境影响程度分级</w:t>
      </w:r>
    </w:p>
    <w:p>
      <w:pPr>
        <w:pStyle w:val="23"/>
        <w:widowControl w:val="0"/>
        <w:spacing w:beforeAutospacing="0" w:afterAutospacing="0" w:line="640" w:lineRule="exact"/>
        <w:ind w:firstLine="600" w:firstLineChars="200"/>
        <w:jc w:val="both"/>
        <w:rPr>
          <w:rFonts w:ascii="宋体" w:hAnsi="宋体" w:cs="宋体"/>
          <w:sz w:val="30"/>
          <w:szCs w:val="30"/>
          <w:lang w:bidi="zh-CN"/>
        </w:rPr>
      </w:pPr>
      <w:r>
        <w:rPr>
          <w:rFonts w:hint="eastAsia" w:ascii="宋体" w:hAnsi="宋体" w:cs="宋体"/>
          <w:sz w:val="30"/>
          <w:szCs w:val="30"/>
          <w:lang w:bidi="zh-CN"/>
        </w:rPr>
        <w:t>依据该矿采矿活动对矿区土地资源、水资源、水环境的影响程度以及地质灾害危险性大小和矿山环境问题的防治难度,将采矿活动对矿山环境影响程度确定为较轻区。</w:t>
      </w:r>
    </w:p>
    <w:p>
      <w:pPr>
        <w:pStyle w:val="23"/>
        <w:widowControl w:val="0"/>
        <w:spacing w:before="156" w:beforeLines="50" w:beforeAutospacing="0" w:afterAutospacing="0" w:line="640" w:lineRule="exact"/>
        <w:ind w:firstLine="602" w:firstLineChars="200"/>
        <w:jc w:val="both"/>
        <w:rPr>
          <w:rFonts w:ascii="宋体" w:hAnsi="宋体" w:cs="宋体"/>
          <w:b/>
          <w:sz w:val="30"/>
          <w:szCs w:val="30"/>
        </w:rPr>
      </w:pPr>
      <w:r>
        <w:rPr>
          <w:rFonts w:hint="eastAsia" w:ascii="宋体" w:hAnsi="宋体" w:cs="宋体"/>
          <w:b/>
          <w:sz w:val="30"/>
          <w:szCs w:val="30"/>
        </w:rPr>
        <w:t>五、矿山环境影响较轻区</w:t>
      </w:r>
    </w:p>
    <w:p>
      <w:pPr>
        <w:pStyle w:val="23"/>
        <w:widowControl w:val="0"/>
        <w:spacing w:beforeAutospacing="0" w:afterAutospacing="0" w:line="640" w:lineRule="exact"/>
        <w:ind w:firstLine="600" w:firstLineChars="200"/>
        <w:jc w:val="both"/>
        <w:rPr>
          <w:rFonts w:hint="eastAsia" w:ascii="宋体" w:hAnsi="宋体" w:cs="宋体"/>
          <w:sz w:val="30"/>
          <w:szCs w:val="30"/>
          <w:lang w:bidi="zh-CN"/>
        </w:rPr>
      </w:pPr>
      <w:r>
        <w:rPr>
          <w:rFonts w:hint="eastAsia" w:ascii="宋体" w:hAnsi="宋体" w:cs="宋体"/>
          <w:sz w:val="30"/>
          <w:szCs w:val="30"/>
          <w:lang w:bidi="zh-CN"/>
        </w:rPr>
        <w:t>包括主副井的工业场地、矿区道路及地下开采引发的地面沉陷区。该区地面沉陷地质灾害危害对象为采矿人员和分散的居民，地质灾害危险性中等，防治难度较小；破坏的土地类型为荒草地，采矿活动对矿区土地资源、水资源和水环境影响程度较轻。</w:t>
      </w:r>
    </w:p>
    <w:p>
      <w:pPr>
        <w:pStyle w:val="23"/>
        <w:widowControl w:val="0"/>
        <w:spacing w:beforeAutospacing="0" w:afterAutospacing="0" w:line="640" w:lineRule="exact"/>
        <w:ind w:firstLine="600" w:firstLineChars="200"/>
        <w:jc w:val="both"/>
        <w:rPr>
          <w:rFonts w:hint="eastAsia" w:ascii="宋体" w:hAnsi="宋体" w:cs="宋体"/>
          <w:sz w:val="30"/>
          <w:szCs w:val="30"/>
          <w:lang w:bidi="zh-CN"/>
        </w:rPr>
      </w:pPr>
    </w:p>
    <w:p>
      <w:pPr>
        <w:jc w:val="center"/>
        <w:outlineLvl w:val="0"/>
        <w:rPr>
          <w:rFonts w:cs="仿宋_GB2312"/>
          <w:b/>
          <w:bCs/>
          <w:w w:val="167"/>
          <w:sz w:val="36"/>
          <w:szCs w:val="36"/>
        </w:rPr>
      </w:pPr>
      <w:bookmarkStart w:id="48" w:name="_Toc23369"/>
      <w:r>
        <w:rPr>
          <w:sz w:val="36"/>
          <w:szCs w:val="36"/>
        </w:rPr>
        <w:fldChar w:fldCharType="begin"/>
      </w:r>
      <w:r>
        <w:rPr>
          <w:sz w:val="36"/>
          <w:szCs w:val="36"/>
        </w:rPr>
        <w:instrText xml:space="preserve"> HYPERLINK \l "_bookmark7" </w:instrText>
      </w:r>
      <w:r>
        <w:rPr>
          <w:sz w:val="36"/>
          <w:szCs w:val="36"/>
        </w:rPr>
        <w:fldChar w:fldCharType="separate"/>
      </w:r>
      <w:r>
        <w:rPr>
          <w:rFonts w:hint="eastAsia" w:cs="仿宋_GB2312"/>
          <w:b/>
          <w:bCs/>
          <w:sz w:val="36"/>
          <w:szCs w:val="36"/>
        </w:rPr>
        <w:t xml:space="preserve">第三章  </w:t>
      </w:r>
      <w:r>
        <w:rPr>
          <w:rFonts w:hint="eastAsia" w:cs="仿宋_GB2312"/>
          <w:b/>
          <w:bCs/>
          <w:sz w:val="36"/>
          <w:szCs w:val="36"/>
          <w:lang w:val="en-US"/>
        </w:rPr>
        <w:t>2021</w:t>
      </w:r>
      <w:r>
        <w:rPr>
          <w:rFonts w:hint="eastAsia" w:cs="仿宋_GB2312"/>
          <w:b/>
          <w:bCs/>
          <w:sz w:val="36"/>
          <w:szCs w:val="36"/>
        </w:rPr>
        <w:t>年前方案的编制情况</w:t>
      </w:r>
      <w:r>
        <w:rPr>
          <w:rFonts w:hint="eastAsia" w:cs="仿宋_GB2312"/>
          <w:b/>
          <w:bCs/>
          <w:sz w:val="36"/>
          <w:szCs w:val="36"/>
        </w:rPr>
        <w:fldChar w:fldCharType="end"/>
      </w:r>
      <w:bookmarkEnd w:id="48"/>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rPr>
        <w:t>根据《矿山地质环境保护规定》《内蒙古自治区矿山地质环境治理保证金管理办法》等有关政策、法规要求，为了规范矿山建设和生态环境保护，乌海市万晨能源煤炭有限责任公司于2009年1月委托内蒙古地矿地质工程勘察有限责任公司编制了</w:t>
      </w:r>
      <w:r>
        <w:rPr>
          <w:rFonts w:hint="eastAsia"/>
          <w:sz w:val="30"/>
          <w:szCs w:val="30"/>
          <w:lang w:val="en-US"/>
        </w:rPr>
        <w:t>《乌海市万晨能源煤炭有限责任公司龙贵分公司矿山环境保护与综合治理方案》，《方案》中显示：“根据2004年6月内蒙古自治区煤炭科学研究所提交的《内蒙古自治区万晨能源煤炭有限责任公司龙贵分公司煤矿可行性研究报告》，矿山服务年限为23.5年。（2009年～2034年），考虑矿山环境影响滞后期1.5年，因此，确定该方案适用年限为25年，即从2009年～2033年，方案编制基准年为2009年。”2013年按照《内蒙古自治区煤矿整顿关闭领导小组办公室关于乌海市龙贵煤矿整合滴沥帮乌素煤矿二矿和三矿的批复》（内煤整办字[2013]5号）文件列入整合煤矿后，至今未生产。按照《内蒙古自治区矿山地质环境治理保证金管理办法实施细则》第二十一条“矿山企业在一个治理期内，因技术改造或者其他客观原因停产，本期未造成地质环境破坏或者已经完成本期已破坏地质环境治理的，经旗县级国土资源行政主管部门核实并出具证明，上期缴存的保证金可直接转存，《分期治理方案》编制工作也一并顺延，直到开工时间达到3年治理期。” （后附：《关于内蒙古乌海市万晨能源煤炭有限责任公司龙贵煤矿整合改造方案的批复》）</w:t>
      </w:r>
    </w:p>
    <w:p>
      <w:pPr>
        <w:ind w:left="1" w:leftChars="-257" w:hanging="566" w:hangingChars="177"/>
        <w:rPr>
          <w:rFonts w:ascii="仿宋_GB2312" w:hAnsi="仿宋_GB2312" w:eastAsia="仿宋_GB2312" w:cs="仿宋_GB2312"/>
          <w:b/>
          <w:bCs/>
          <w:sz w:val="30"/>
          <w:szCs w:val="30"/>
        </w:rPr>
      </w:pPr>
      <w:r>
        <w:rPr>
          <w:rFonts w:hint="eastAsia" w:ascii="仿宋_GB2312" w:hAnsi="仿宋_GB2312" w:cs="仿宋_GB2312"/>
          <w:sz w:val="32"/>
          <w:szCs w:val="32"/>
          <w:lang w:val="en-US" w:bidi="ar-SA"/>
        </w:rPr>
        <w:drawing>
          <wp:inline distT="0" distB="0" distL="114300" distR="114300">
            <wp:extent cx="6219825" cy="7835265"/>
            <wp:effectExtent l="0" t="0" r="9525" b="0"/>
            <wp:docPr id="24" name="图片 24" descr="12-1龙贵滴沥帮二矿三矿整合方案批复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1龙贵滴沥帮二矿三矿整合方案批复文件_00"/>
                    <pic:cNvPicPr>
                      <a:picLocks noChangeAspect="1"/>
                    </pic:cNvPicPr>
                  </pic:nvPicPr>
                  <pic:blipFill>
                    <a:blip r:embed="rId11"/>
                    <a:srcRect l="6876" t="15656" r="7903" b="8381"/>
                    <a:stretch>
                      <a:fillRect/>
                    </a:stretch>
                  </pic:blipFill>
                  <pic:spPr>
                    <a:xfrm>
                      <a:off x="0" y="0"/>
                      <a:ext cx="6239729" cy="7859871"/>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610860" cy="8292465"/>
            <wp:effectExtent l="0" t="0" r="8890" b="0"/>
            <wp:docPr id="23" name="图片 23" descr="12-1龙贵滴沥帮二矿三矿整合方案批复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1龙贵滴沥帮二矿三矿整合方案批复文件_01"/>
                    <pic:cNvPicPr>
                      <a:picLocks noChangeAspect="1"/>
                    </pic:cNvPicPr>
                  </pic:nvPicPr>
                  <pic:blipFill>
                    <a:blip r:embed="rId12"/>
                    <a:srcRect l="7474" t="7828" r="11199" b="7118"/>
                    <a:stretch>
                      <a:fillRect/>
                    </a:stretch>
                  </pic:blipFill>
                  <pic:spPr>
                    <a:xfrm>
                      <a:off x="0" y="0"/>
                      <a:ext cx="5623614" cy="8311372"/>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580380" cy="8455660"/>
            <wp:effectExtent l="0" t="0" r="1270" b="2540"/>
            <wp:docPr id="22" name="图片 22" descr="12-1龙贵滴沥帮二矿三矿整合方案批复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1龙贵滴沥帮二矿三矿整合方案批复文件_02"/>
                    <pic:cNvPicPr>
                      <a:picLocks noChangeAspect="1"/>
                    </pic:cNvPicPr>
                  </pic:nvPicPr>
                  <pic:blipFill>
                    <a:blip r:embed="rId13"/>
                    <a:srcRect l="9568" t="9098" r="11496" b="6270"/>
                    <a:stretch>
                      <a:fillRect/>
                    </a:stretch>
                  </pic:blipFill>
                  <pic:spPr>
                    <a:xfrm>
                      <a:off x="0" y="0"/>
                      <a:ext cx="5590405" cy="8470313"/>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671820" cy="8339455"/>
            <wp:effectExtent l="0" t="0" r="5080" b="4445"/>
            <wp:docPr id="21" name="图片 21" descr="12-1龙贵滴沥帮二矿三矿整合方案批复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1龙贵滴沥帮二矿三矿整合方案批复文件_03"/>
                    <pic:cNvPicPr>
                      <a:picLocks noChangeAspect="1"/>
                    </pic:cNvPicPr>
                  </pic:nvPicPr>
                  <pic:blipFill>
                    <a:blip r:embed="rId14"/>
                    <a:srcRect l="7773" t="10156" r="11496" b="5847"/>
                    <a:stretch>
                      <a:fillRect/>
                    </a:stretch>
                  </pic:blipFill>
                  <pic:spPr>
                    <a:xfrm>
                      <a:off x="0" y="0"/>
                      <a:ext cx="5683223" cy="8356443"/>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612130" cy="8305165"/>
            <wp:effectExtent l="0" t="0" r="7620" b="635"/>
            <wp:docPr id="20" name="图片 20" descr="12-1龙贵滴沥帮二矿三矿整合方案批复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1龙贵滴沥帮二矿三矿整合方案批复文件_04"/>
                    <pic:cNvPicPr>
                      <a:picLocks noChangeAspect="1"/>
                    </pic:cNvPicPr>
                  </pic:nvPicPr>
                  <pic:blipFill>
                    <a:blip r:embed="rId15"/>
                    <a:srcRect l="8371" t="9097" r="9997" b="5420"/>
                    <a:stretch>
                      <a:fillRect/>
                    </a:stretch>
                  </pic:blipFill>
                  <pic:spPr>
                    <a:xfrm>
                      <a:off x="0" y="0"/>
                      <a:ext cx="5623637" cy="8322157"/>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596255" cy="8333105"/>
            <wp:effectExtent l="0" t="0" r="4445" b="0"/>
            <wp:docPr id="19" name="图片 19" descr="12-1龙贵滴沥帮二矿三矿整合方案批复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1龙贵滴沥帮二矿三矿整合方案批复文件_05"/>
                    <pic:cNvPicPr>
                      <a:picLocks noChangeAspect="1"/>
                    </pic:cNvPicPr>
                  </pic:nvPicPr>
                  <pic:blipFill>
                    <a:blip r:embed="rId16"/>
                    <a:srcRect l="7773" t="9098" r="10898" b="5213"/>
                    <a:stretch>
                      <a:fillRect/>
                    </a:stretch>
                  </pic:blipFill>
                  <pic:spPr>
                    <a:xfrm>
                      <a:off x="0" y="0"/>
                      <a:ext cx="5602200" cy="8341512"/>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438775" cy="8128635"/>
            <wp:effectExtent l="0" t="0" r="9525" b="5715"/>
            <wp:docPr id="18" name="图片 18" descr="12-1龙贵滴沥帮二矿三矿整合方案批复文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龙贵滴沥帮二矿三矿整合方案批复文件_06"/>
                    <pic:cNvPicPr>
                      <a:picLocks noChangeAspect="1"/>
                    </pic:cNvPicPr>
                  </pic:nvPicPr>
                  <pic:blipFill>
                    <a:blip r:embed="rId17"/>
                    <a:srcRect l="9269" t="8463" r="9102" b="5210"/>
                    <a:stretch>
                      <a:fillRect/>
                    </a:stretch>
                  </pic:blipFill>
                  <pic:spPr>
                    <a:xfrm>
                      <a:off x="0" y="0"/>
                      <a:ext cx="5447168" cy="8140824"/>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527675" cy="8260715"/>
            <wp:effectExtent l="0" t="0" r="0" b="6985"/>
            <wp:docPr id="17" name="图片 17" descr="12-1龙贵滴沥帮二矿三矿整合方案批复文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1龙贵滴沥帮二矿三矿整合方案批复文件_07"/>
                    <pic:cNvPicPr>
                      <a:picLocks noChangeAspect="1"/>
                    </pic:cNvPicPr>
                  </pic:nvPicPr>
                  <pic:blipFill>
                    <a:blip r:embed="rId18"/>
                    <a:srcRect l="9270" t="9732" r="10297" b="5209"/>
                    <a:stretch>
                      <a:fillRect/>
                    </a:stretch>
                  </pic:blipFill>
                  <pic:spPr>
                    <a:xfrm>
                      <a:off x="0" y="0"/>
                      <a:ext cx="5536193" cy="8273419"/>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589905" cy="8103235"/>
            <wp:effectExtent l="0" t="0" r="0" b="0"/>
            <wp:docPr id="16" name="图片 16" descr="12-1龙贵滴沥帮二矿三矿整合方案批复文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1龙贵滴沥帮二矿三矿整合方案批复文件_08"/>
                    <pic:cNvPicPr>
                      <a:picLocks noChangeAspect="1"/>
                    </pic:cNvPicPr>
                  </pic:nvPicPr>
                  <pic:blipFill>
                    <a:blip r:embed="rId19"/>
                    <a:srcRect l="9567" t="8674" r="7310" b="6058"/>
                    <a:stretch>
                      <a:fillRect/>
                    </a:stretch>
                  </pic:blipFill>
                  <pic:spPr>
                    <a:xfrm>
                      <a:off x="0" y="0"/>
                      <a:ext cx="5596939" cy="8113547"/>
                    </a:xfrm>
                    <a:prstGeom prst="rect">
                      <a:avLst/>
                    </a:prstGeom>
                    <a:ln>
                      <a:noFill/>
                    </a:ln>
                  </pic:spPr>
                </pic:pic>
              </a:graphicData>
            </a:graphic>
          </wp:inline>
        </w:drawing>
      </w:r>
      <w:r>
        <w:rPr>
          <w:rFonts w:hint="eastAsia" w:ascii="仿宋_GB2312" w:hAnsi="仿宋_GB2312" w:cs="仿宋_GB2312"/>
          <w:sz w:val="32"/>
          <w:szCs w:val="32"/>
          <w:lang w:val="en-US" w:bidi="ar-SA"/>
        </w:rPr>
        <w:drawing>
          <wp:inline distT="0" distB="0" distL="114300" distR="114300">
            <wp:extent cx="5441315" cy="7819390"/>
            <wp:effectExtent l="0" t="0" r="6985" b="0"/>
            <wp:docPr id="15" name="图片 15" descr="12-1龙贵滴沥帮二矿三矿整合方案批复文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1龙贵滴沥帮二矿三矿整合方案批复文件_09"/>
                    <pic:cNvPicPr>
                      <a:picLocks noChangeAspect="1"/>
                    </pic:cNvPicPr>
                  </pic:nvPicPr>
                  <pic:blipFill>
                    <a:blip r:embed="rId20"/>
                    <a:srcRect l="7772" t="8252" r="11496" b="9654"/>
                    <a:stretch>
                      <a:fillRect/>
                    </a:stretch>
                  </pic:blipFill>
                  <pic:spPr>
                    <a:xfrm>
                      <a:off x="0" y="0"/>
                      <a:ext cx="5456619" cy="7841366"/>
                    </a:xfrm>
                    <a:prstGeom prst="rect">
                      <a:avLst/>
                    </a:prstGeom>
                    <a:ln>
                      <a:noFill/>
                    </a:ln>
                  </pic:spPr>
                </pic:pic>
              </a:graphicData>
            </a:graphic>
          </wp:inline>
        </w:drawing>
      </w:r>
    </w:p>
    <w:p>
      <w:pPr>
        <w:rPr>
          <w:rFonts w:ascii="仿宋_GB2312" w:hAnsi="仿宋_GB2312" w:eastAsia="仿宋_GB2312" w:cs="仿宋_GB2312"/>
          <w:b/>
          <w:bCs/>
          <w:sz w:val="30"/>
          <w:szCs w:val="30"/>
        </w:rPr>
      </w:pPr>
    </w:p>
    <w:p>
      <w:pPr>
        <w:rPr>
          <w:rFonts w:ascii="仿宋_GB2312" w:hAnsi="仿宋_GB2312" w:eastAsia="仿宋_GB2312" w:cs="仿宋_GB2312"/>
          <w:b/>
          <w:bCs/>
          <w:sz w:val="30"/>
          <w:szCs w:val="30"/>
        </w:rPr>
      </w:pPr>
    </w:p>
    <w:p>
      <w:pPr>
        <w:ind w:firstLine="723" w:firstLineChars="200"/>
        <w:jc w:val="center"/>
        <w:outlineLvl w:val="0"/>
        <w:rPr>
          <w:rFonts w:cs="仿宋_GB2312"/>
          <w:b/>
          <w:bCs/>
          <w:sz w:val="36"/>
          <w:szCs w:val="36"/>
        </w:rPr>
      </w:pPr>
      <w:bookmarkStart w:id="49" w:name="_Toc11769"/>
      <w:r>
        <w:rPr>
          <w:rFonts w:hint="eastAsia" w:cs="仿宋_GB2312"/>
          <w:b/>
          <w:bCs/>
          <w:sz w:val="36"/>
          <w:szCs w:val="36"/>
        </w:rPr>
        <w:t>第四章</w:t>
      </w:r>
      <w:r>
        <w:rPr>
          <w:rFonts w:hint="eastAsia" w:cs="仿宋_GB2312"/>
          <w:b/>
          <w:bCs/>
          <w:sz w:val="36"/>
          <w:szCs w:val="36"/>
          <w:lang w:val="en-US"/>
        </w:rPr>
        <w:t xml:space="preserve"> </w:t>
      </w:r>
      <w:r>
        <w:rPr>
          <w:rFonts w:hint="eastAsia" w:cs="仿宋_GB2312"/>
          <w:b/>
          <w:bCs/>
          <w:sz w:val="36"/>
          <w:szCs w:val="36"/>
        </w:rPr>
        <w:t>矿山地质环境治理工程验收及完成情况</w:t>
      </w:r>
      <w:bookmarkEnd w:id="49"/>
    </w:p>
    <w:p>
      <w:pPr>
        <w:pStyle w:val="6"/>
        <w:spacing w:line="600" w:lineRule="exact"/>
        <w:ind w:firstLine="602" w:firstLineChars="200"/>
        <w:jc w:val="center"/>
        <w:outlineLvl w:val="1"/>
        <w:rPr>
          <w:rFonts w:cs="仿宋_GB2312"/>
          <w:b/>
          <w:bCs/>
          <w:sz w:val="30"/>
          <w:szCs w:val="30"/>
          <w:lang w:val="en-US"/>
        </w:rPr>
      </w:pPr>
      <w:bookmarkStart w:id="50" w:name="_Toc21570"/>
      <w:r>
        <w:rPr>
          <w:rFonts w:hint="eastAsia" w:cs="仿宋_GB2312"/>
          <w:b/>
          <w:bCs/>
          <w:sz w:val="30"/>
          <w:szCs w:val="30"/>
          <w:lang w:val="en-US"/>
        </w:rPr>
        <w:t>第一节 矿山地质环境治理工程验收情况</w:t>
      </w:r>
      <w:bookmarkEnd w:id="50"/>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2016年7月19日，乌海市国土资源局组织专家对内蒙古乌海市万晨能源煤炭有限责任公司龙贵煤矿的矿山地质环境分期治理工程按方案进行了实地验收。验收工程：1.矿山地下开采形成采空区156000平方米，现场未见明显地表沉陷及地裂缝。2.设置了网围栏，但网围栏设置长度不够。3.在采空区设置了监测点，检测记录基本齐全。4.建井过程中产生的矸石一部分用于场地平整，一部分用于地面建设，剩余一部分运到南场地边界出一低洼处回填平整覆土。5.办公场地硬化19800平方米，绿化2300平方米。6.拆除临时工棚等建筑物1600平方米，并进行场地平整后硬化绿化。治理费用108.85万元。2013年整合至今处于长期停产状态。</w:t>
      </w:r>
    </w:p>
    <w:p>
      <w:pPr>
        <w:pStyle w:val="6"/>
        <w:keepNext w:val="0"/>
        <w:keepLines w:val="0"/>
        <w:pageBreakBefore w:val="0"/>
        <w:widowControl w:val="0"/>
        <w:kinsoku/>
        <w:wordWrap/>
        <w:overflowPunct/>
        <w:topLinePunct w:val="0"/>
        <w:autoSpaceDE w:val="0"/>
        <w:autoSpaceDN w:val="0"/>
        <w:bidi w:val="0"/>
        <w:adjustRightInd/>
        <w:snapToGrid/>
        <w:spacing w:line="600" w:lineRule="exact"/>
        <w:ind w:firstLine="602" w:firstLineChars="200"/>
        <w:jc w:val="center"/>
        <w:textAlignment w:val="auto"/>
        <w:outlineLvl w:val="1"/>
        <w:rPr>
          <w:rFonts w:cs="仿宋_GB2312"/>
          <w:b/>
          <w:bCs/>
          <w:sz w:val="30"/>
          <w:szCs w:val="30"/>
          <w:lang w:val="en-US"/>
        </w:rPr>
      </w:pPr>
      <w:bookmarkStart w:id="51" w:name="_Toc30221"/>
      <w:r>
        <w:rPr>
          <w:rFonts w:hint="eastAsia" w:cs="仿宋_GB2312"/>
          <w:b/>
          <w:bCs/>
          <w:sz w:val="30"/>
          <w:szCs w:val="30"/>
          <w:lang w:val="en-US"/>
        </w:rPr>
        <w:t>第二节 2020年度地质环境治理工程完成情况</w:t>
      </w:r>
      <w:bookmarkEnd w:id="51"/>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rFonts w:hint="eastAsia"/>
          <w:sz w:val="30"/>
          <w:szCs w:val="30"/>
          <w:lang w:val="en-US"/>
        </w:rPr>
      </w:pPr>
      <w:r>
        <w:rPr>
          <w:rFonts w:hint="eastAsia"/>
          <w:sz w:val="30"/>
          <w:szCs w:val="30"/>
          <w:lang w:val="en-US"/>
        </w:rPr>
        <w:t>内蒙古乌海市万晨能源煤炭有限责任公司龙贵煤矿2020年完成绿化面积600㎡，栽松树300棵，设置地质灾害警示牌板2块，完成治理投资10万元。</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rFonts w:hint="eastAsia"/>
          <w:sz w:val="30"/>
          <w:szCs w:val="30"/>
          <w:lang w:val="en-US"/>
        </w:rPr>
      </w:pPr>
    </w:p>
    <w:p>
      <w:pPr>
        <w:ind w:firstLine="723" w:firstLineChars="200"/>
        <w:jc w:val="center"/>
        <w:outlineLvl w:val="0"/>
        <w:rPr>
          <w:rFonts w:cs="仿宋_GB2312"/>
          <w:b/>
          <w:bCs/>
          <w:sz w:val="36"/>
          <w:szCs w:val="36"/>
          <w:lang w:val="en-US"/>
        </w:rPr>
      </w:pPr>
      <w:bookmarkStart w:id="52" w:name="_Toc17319"/>
      <w:r>
        <w:rPr>
          <w:rFonts w:hint="eastAsia" w:cs="仿宋_GB2312"/>
          <w:b/>
          <w:bCs/>
          <w:sz w:val="36"/>
          <w:szCs w:val="36"/>
        </w:rPr>
        <w:t>第五章</w:t>
      </w:r>
      <w:r>
        <w:rPr>
          <w:rFonts w:hint="eastAsia" w:cs="仿宋_GB2312"/>
          <w:b/>
          <w:bCs/>
          <w:sz w:val="36"/>
          <w:szCs w:val="36"/>
          <w:lang w:val="en-US"/>
        </w:rPr>
        <w:t xml:space="preserve"> </w:t>
      </w:r>
      <w:r>
        <w:rPr>
          <w:rFonts w:hint="eastAsia" w:cs="仿宋_GB2312"/>
          <w:b/>
          <w:bCs/>
          <w:sz w:val="36"/>
          <w:szCs w:val="36"/>
        </w:rPr>
        <w:t>202</w:t>
      </w:r>
      <w:r>
        <w:rPr>
          <w:rFonts w:hint="eastAsia" w:cs="仿宋_GB2312"/>
          <w:b/>
          <w:bCs/>
          <w:sz w:val="36"/>
          <w:szCs w:val="36"/>
          <w:lang w:val="en-US"/>
        </w:rPr>
        <w:t>1</w:t>
      </w:r>
      <w:r>
        <w:rPr>
          <w:rFonts w:hint="eastAsia" w:cs="仿宋_GB2312"/>
          <w:b/>
          <w:bCs/>
          <w:sz w:val="36"/>
          <w:szCs w:val="36"/>
        </w:rPr>
        <w:t>年地质环境治理工程拟计划情况</w:t>
      </w:r>
      <w:bookmarkEnd w:id="52"/>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rPr>
      </w:pPr>
      <w:r>
        <w:rPr>
          <w:rFonts w:hint="eastAsia"/>
          <w:sz w:val="30"/>
          <w:szCs w:val="30"/>
        </w:rPr>
        <w:t>根据《乌海市万晨能源煤炭有限责任公司龙贵分公司矿山环境保护与综合治理方案》中矿山环境保护与综合治理工作部署矿治理工作分为三期（近期、中期、远期），近期综合治理规划时限为3年（2010年～2012年），主要治理工程为井采产生的灰渣，直接用于铺路。井采产生的矸石直接运往矸石发电厂。中期综合治理规划时限为20年（2013年～2032年），主要治理工程为井采矸石运往矸石电厂，采空区处设置警示牌。井采产生的矸石直接运往矸石发电厂。远期综合治理规划时限为2年（2033年～2034年），主要治理工程为对矿山开采形成的地面沉陷坑进行治理，拆除生活区的临时建筑。</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rPr>
        <w:t>但因矿山处于整合、停产阶段，</w:t>
      </w:r>
      <w:r>
        <w:rPr>
          <w:rFonts w:hint="eastAsia"/>
          <w:sz w:val="30"/>
          <w:szCs w:val="30"/>
          <w:lang w:val="en-US"/>
        </w:rPr>
        <w:t>2021年将继续办理三个煤矿资源整合手续，办理完成后委托有资质单位编制整合后的《矿山地质环境治理方案及土地复垦方案》，评审备案后按照新方案实施治理工作。如本年未办理完成整合手续。2021年拟计划完成如下治理工作：</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1.绿化：在矿区范围内进行绿化栽松树100棵，完成绿化面积300㎡。</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2.警示牌：对矿区</w:t>
      </w:r>
      <w:r>
        <w:rPr>
          <w:sz w:val="30"/>
          <w:szCs w:val="30"/>
          <w:lang w:val="en-US"/>
        </w:rPr>
        <w:t>周边易发生危险地带合理</w:t>
      </w:r>
      <w:r>
        <w:rPr>
          <w:rFonts w:hint="eastAsia"/>
          <w:sz w:val="30"/>
          <w:szCs w:val="30"/>
          <w:lang w:val="en-US"/>
        </w:rPr>
        <w:t>增加</w:t>
      </w:r>
      <w:r>
        <w:rPr>
          <w:sz w:val="30"/>
          <w:szCs w:val="30"/>
          <w:lang w:val="en-US"/>
        </w:rPr>
        <w:t xml:space="preserve">设置警示牌，以确保采矿工作人员及矿山通行车辆的安全。本期设置警示牌 </w:t>
      </w:r>
      <w:r>
        <w:rPr>
          <w:rFonts w:hint="eastAsia"/>
          <w:sz w:val="30"/>
          <w:szCs w:val="30"/>
          <w:lang w:val="en-US"/>
        </w:rPr>
        <w:t>2</w:t>
      </w:r>
      <w:r>
        <w:rPr>
          <w:sz w:val="30"/>
          <w:szCs w:val="30"/>
          <w:lang w:val="en-US"/>
        </w:rPr>
        <w:t xml:space="preserve"> 块。 </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3.对矿区地面进行监测。</w:t>
      </w:r>
    </w:p>
    <w:tbl>
      <w:tblPr>
        <w:tblStyle w:val="11"/>
        <w:tblpPr w:leftFromText="180" w:rightFromText="180" w:vertAnchor="text" w:horzAnchor="page" w:tblpX="1875" w:tblpY="625"/>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1522"/>
        <w:gridCol w:w="1026"/>
        <w:gridCol w:w="1236"/>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684" w:type="dxa"/>
            <w:vAlign w:val="center"/>
          </w:tcPr>
          <w:p>
            <w:pPr>
              <w:spacing w:line="280" w:lineRule="exact"/>
              <w:jc w:val="center"/>
              <w:rPr>
                <w:b/>
                <w:sz w:val="24"/>
                <w:szCs w:val="24"/>
                <w:highlight w:val="none"/>
              </w:rPr>
            </w:pPr>
            <w:r>
              <w:rPr>
                <w:b/>
                <w:sz w:val="24"/>
                <w:szCs w:val="24"/>
                <w:highlight w:val="none"/>
              </w:rPr>
              <w:t>治理工程项目</w:t>
            </w:r>
          </w:p>
        </w:tc>
        <w:tc>
          <w:tcPr>
            <w:tcW w:w="1522" w:type="dxa"/>
            <w:vAlign w:val="center"/>
          </w:tcPr>
          <w:p>
            <w:pPr>
              <w:spacing w:line="280" w:lineRule="exact"/>
              <w:ind w:firstLine="120" w:firstLineChars="50"/>
              <w:jc w:val="center"/>
              <w:rPr>
                <w:b/>
                <w:sz w:val="24"/>
                <w:szCs w:val="24"/>
                <w:highlight w:val="none"/>
              </w:rPr>
            </w:pPr>
            <w:r>
              <w:rPr>
                <w:b/>
                <w:sz w:val="24"/>
                <w:szCs w:val="24"/>
                <w:highlight w:val="none"/>
              </w:rPr>
              <w:t>工程量</w:t>
            </w:r>
          </w:p>
        </w:tc>
        <w:tc>
          <w:tcPr>
            <w:tcW w:w="1026" w:type="dxa"/>
            <w:vAlign w:val="center"/>
          </w:tcPr>
          <w:p>
            <w:pPr>
              <w:spacing w:line="280" w:lineRule="exact"/>
              <w:jc w:val="center"/>
              <w:rPr>
                <w:b/>
                <w:sz w:val="24"/>
                <w:szCs w:val="24"/>
                <w:highlight w:val="none"/>
              </w:rPr>
            </w:pPr>
            <w:r>
              <w:rPr>
                <w:b/>
                <w:sz w:val="24"/>
                <w:szCs w:val="24"/>
                <w:highlight w:val="none"/>
              </w:rPr>
              <w:t>单价</w:t>
            </w:r>
          </w:p>
          <w:p>
            <w:pPr>
              <w:spacing w:line="280" w:lineRule="exact"/>
              <w:jc w:val="center"/>
              <w:rPr>
                <w:b/>
                <w:sz w:val="24"/>
                <w:szCs w:val="24"/>
                <w:highlight w:val="none"/>
              </w:rPr>
            </w:pPr>
            <w:r>
              <w:rPr>
                <w:b/>
                <w:sz w:val="24"/>
                <w:szCs w:val="24"/>
                <w:highlight w:val="none"/>
              </w:rPr>
              <w:t>（元）</w:t>
            </w:r>
          </w:p>
        </w:tc>
        <w:tc>
          <w:tcPr>
            <w:tcW w:w="1236" w:type="dxa"/>
            <w:vAlign w:val="center"/>
          </w:tcPr>
          <w:p>
            <w:pPr>
              <w:spacing w:line="280" w:lineRule="exact"/>
              <w:jc w:val="center"/>
              <w:rPr>
                <w:b/>
                <w:sz w:val="24"/>
                <w:szCs w:val="24"/>
                <w:highlight w:val="none"/>
              </w:rPr>
            </w:pPr>
            <w:r>
              <w:rPr>
                <w:b/>
                <w:sz w:val="24"/>
                <w:szCs w:val="24"/>
                <w:highlight w:val="none"/>
              </w:rPr>
              <w:t>费用</w:t>
            </w:r>
          </w:p>
          <w:p>
            <w:pPr>
              <w:spacing w:line="280" w:lineRule="exact"/>
              <w:jc w:val="center"/>
              <w:rPr>
                <w:b/>
                <w:sz w:val="24"/>
                <w:szCs w:val="24"/>
                <w:highlight w:val="none"/>
              </w:rPr>
            </w:pPr>
            <w:r>
              <w:rPr>
                <w:b/>
                <w:sz w:val="24"/>
                <w:szCs w:val="24"/>
                <w:highlight w:val="none"/>
              </w:rPr>
              <w:t>（元）</w:t>
            </w:r>
          </w:p>
        </w:tc>
        <w:tc>
          <w:tcPr>
            <w:tcW w:w="2460" w:type="dxa"/>
            <w:vAlign w:val="center"/>
          </w:tcPr>
          <w:p>
            <w:pPr>
              <w:spacing w:line="360" w:lineRule="auto"/>
              <w:ind w:firstLine="482" w:firstLineChars="200"/>
              <w:jc w:val="center"/>
              <w:rPr>
                <w:b/>
                <w:sz w:val="24"/>
                <w:szCs w:val="24"/>
                <w:highlight w:val="none"/>
              </w:rPr>
            </w:pPr>
            <w:r>
              <w:rPr>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84" w:type="dxa"/>
            <w:vAlign w:val="center"/>
          </w:tcPr>
          <w:p>
            <w:pPr>
              <w:spacing w:line="240" w:lineRule="atLeast"/>
              <w:jc w:val="center"/>
              <w:rPr>
                <w:sz w:val="24"/>
                <w:szCs w:val="24"/>
                <w:highlight w:val="none"/>
              </w:rPr>
            </w:pPr>
            <w:r>
              <w:rPr>
                <w:rFonts w:hint="eastAsia"/>
                <w:sz w:val="24"/>
                <w:szCs w:val="24"/>
                <w:highlight w:val="none"/>
              </w:rPr>
              <w:t>植树（绿化）</w:t>
            </w:r>
          </w:p>
        </w:tc>
        <w:tc>
          <w:tcPr>
            <w:tcW w:w="1522" w:type="dxa"/>
            <w:vAlign w:val="center"/>
          </w:tcPr>
          <w:p>
            <w:pPr>
              <w:spacing w:line="240" w:lineRule="atLeast"/>
              <w:jc w:val="center"/>
              <w:rPr>
                <w:sz w:val="24"/>
                <w:szCs w:val="24"/>
                <w:highlight w:val="none"/>
              </w:rPr>
            </w:pPr>
            <w:r>
              <w:rPr>
                <w:rFonts w:hint="eastAsia"/>
                <w:sz w:val="24"/>
                <w:szCs w:val="24"/>
                <w:highlight w:val="none"/>
                <w:lang w:val="en-US"/>
              </w:rPr>
              <w:t>300㎡</w:t>
            </w:r>
          </w:p>
        </w:tc>
        <w:tc>
          <w:tcPr>
            <w:tcW w:w="1026" w:type="dxa"/>
            <w:vAlign w:val="center"/>
          </w:tcPr>
          <w:p>
            <w:pPr>
              <w:spacing w:before="156" w:beforeLines="50" w:line="240" w:lineRule="atLeast"/>
              <w:jc w:val="center"/>
              <w:rPr>
                <w:sz w:val="24"/>
                <w:szCs w:val="24"/>
                <w:highlight w:val="none"/>
                <w:lang w:val="en-US"/>
              </w:rPr>
            </w:pPr>
            <w:r>
              <w:rPr>
                <w:rFonts w:hint="eastAsia" w:ascii="仿宋"/>
                <w:sz w:val="24"/>
                <w:szCs w:val="24"/>
                <w:highlight w:val="none"/>
                <w:lang w:val="en-US"/>
              </w:rPr>
              <w:t>25</w:t>
            </w:r>
          </w:p>
        </w:tc>
        <w:tc>
          <w:tcPr>
            <w:tcW w:w="1236" w:type="dxa"/>
            <w:vAlign w:val="center"/>
          </w:tcPr>
          <w:p>
            <w:pPr>
              <w:spacing w:before="156" w:beforeLines="50" w:line="240" w:lineRule="atLeast"/>
              <w:jc w:val="center"/>
              <w:rPr>
                <w:sz w:val="24"/>
                <w:szCs w:val="24"/>
                <w:highlight w:val="none"/>
                <w:lang w:val="en-US"/>
              </w:rPr>
            </w:pPr>
            <w:r>
              <w:rPr>
                <w:rFonts w:hint="eastAsia"/>
                <w:sz w:val="24"/>
                <w:szCs w:val="24"/>
                <w:highlight w:val="none"/>
                <w:lang w:val="en-US"/>
              </w:rPr>
              <w:t>7500</w:t>
            </w:r>
          </w:p>
        </w:tc>
        <w:tc>
          <w:tcPr>
            <w:tcW w:w="2460" w:type="dxa"/>
            <w:vAlign w:val="center"/>
          </w:tcPr>
          <w:p>
            <w:pPr>
              <w:spacing w:before="156" w:beforeLines="50" w:line="240" w:lineRule="atLeas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84" w:type="dxa"/>
            <w:vAlign w:val="center"/>
          </w:tcPr>
          <w:p>
            <w:pPr>
              <w:spacing w:line="240" w:lineRule="atLeast"/>
              <w:jc w:val="center"/>
              <w:rPr>
                <w:sz w:val="24"/>
                <w:szCs w:val="24"/>
                <w:highlight w:val="none"/>
              </w:rPr>
            </w:pPr>
            <w:r>
              <w:rPr>
                <w:rFonts w:hint="eastAsia"/>
                <w:sz w:val="24"/>
                <w:szCs w:val="24"/>
                <w:highlight w:val="none"/>
              </w:rPr>
              <w:t>警示牌</w:t>
            </w:r>
          </w:p>
        </w:tc>
        <w:tc>
          <w:tcPr>
            <w:tcW w:w="1522" w:type="dxa"/>
            <w:vAlign w:val="center"/>
          </w:tcPr>
          <w:p>
            <w:pPr>
              <w:spacing w:line="240" w:lineRule="atLeast"/>
              <w:jc w:val="center"/>
              <w:rPr>
                <w:sz w:val="24"/>
                <w:szCs w:val="24"/>
                <w:highlight w:val="none"/>
                <w:lang w:val="en-US"/>
              </w:rPr>
            </w:pPr>
            <w:r>
              <w:rPr>
                <w:rFonts w:hint="eastAsia"/>
                <w:sz w:val="24"/>
                <w:szCs w:val="24"/>
                <w:highlight w:val="none"/>
                <w:lang w:val="en-US"/>
              </w:rPr>
              <w:t>2</w:t>
            </w:r>
          </w:p>
        </w:tc>
        <w:tc>
          <w:tcPr>
            <w:tcW w:w="1026" w:type="dxa"/>
            <w:vAlign w:val="center"/>
          </w:tcPr>
          <w:p>
            <w:pPr>
              <w:spacing w:before="156" w:beforeLines="50" w:line="240" w:lineRule="atLeast"/>
              <w:jc w:val="center"/>
              <w:rPr>
                <w:sz w:val="24"/>
                <w:szCs w:val="24"/>
                <w:highlight w:val="none"/>
              </w:rPr>
            </w:pPr>
            <w:r>
              <w:rPr>
                <w:rFonts w:ascii="仿宋"/>
                <w:sz w:val="24"/>
                <w:szCs w:val="24"/>
                <w:highlight w:val="none"/>
              </w:rPr>
              <w:t>961.79</w:t>
            </w:r>
          </w:p>
        </w:tc>
        <w:tc>
          <w:tcPr>
            <w:tcW w:w="1236" w:type="dxa"/>
            <w:vAlign w:val="center"/>
          </w:tcPr>
          <w:p>
            <w:pPr>
              <w:spacing w:before="156" w:beforeLines="50" w:line="240" w:lineRule="atLeast"/>
              <w:jc w:val="center"/>
              <w:rPr>
                <w:sz w:val="24"/>
                <w:szCs w:val="24"/>
                <w:highlight w:val="none"/>
                <w:lang w:val="en-US"/>
              </w:rPr>
            </w:pPr>
            <w:r>
              <w:rPr>
                <w:rFonts w:hint="eastAsia"/>
                <w:sz w:val="24"/>
                <w:szCs w:val="24"/>
                <w:highlight w:val="none"/>
                <w:lang w:val="en-US"/>
              </w:rPr>
              <w:t>1923.58</w:t>
            </w:r>
          </w:p>
        </w:tc>
        <w:tc>
          <w:tcPr>
            <w:tcW w:w="2460" w:type="dxa"/>
            <w:vAlign w:val="center"/>
          </w:tcPr>
          <w:p>
            <w:pPr>
              <w:spacing w:before="156" w:beforeLines="50" w:line="240" w:lineRule="atLeast"/>
              <w:jc w:val="cente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684" w:type="dxa"/>
            <w:vAlign w:val="center"/>
          </w:tcPr>
          <w:p>
            <w:pPr>
              <w:spacing w:before="156" w:beforeLines="50" w:line="240" w:lineRule="atLeast"/>
              <w:jc w:val="center"/>
              <w:rPr>
                <w:sz w:val="24"/>
                <w:szCs w:val="24"/>
                <w:highlight w:val="none"/>
              </w:rPr>
            </w:pPr>
            <w:r>
              <w:rPr>
                <w:sz w:val="24"/>
                <w:szCs w:val="24"/>
                <w:highlight w:val="none"/>
              </w:rPr>
              <w:t>合</w:t>
            </w:r>
            <w:r>
              <w:rPr>
                <w:rFonts w:hint="eastAsia"/>
                <w:sz w:val="24"/>
                <w:szCs w:val="24"/>
                <w:highlight w:val="none"/>
              </w:rPr>
              <w:t xml:space="preserve">   </w:t>
            </w:r>
            <w:r>
              <w:rPr>
                <w:sz w:val="24"/>
                <w:szCs w:val="24"/>
                <w:highlight w:val="none"/>
              </w:rPr>
              <w:t>计</w:t>
            </w:r>
          </w:p>
        </w:tc>
        <w:tc>
          <w:tcPr>
            <w:tcW w:w="1522" w:type="dxa"/>
            <w:vAlign w:val="center"/>
          </w:tcPr>
          <w:p>
            <w:pPr>
              <w:spacing w:before="156" w:beforeLines="50" w:line="240" w:lineRule="atLeast"/>
              <w:jc w:val="center"/>
              <w:rPr>
                <w:sz w:val="24"/>
                <w:szCs w:val="24"/>
                <w:highlight w:val="none"/>
              </w:rPr>
            </w:pPr>
          </w:p>
        </w:tc>
        <w:tc>
          <w:tcPr>
            <w:tcW w:w="1026" w:type="dxa"/>
            <w:vAlign w:val="center"/>
          </w:tcPr>
          <w:p>
            <w:pPr>
              <w:pStyle w:val="24"/>
              <w:autoSpaceDE/>
              <w:autoSpaceDN/>
              <w:adjustRightInd/>
              <w:spacing w:before="156" w:beforeLines="50" w:line="240" w:lineRule="atLeast"/>
              <w:ind w:firstLine="400" w:firstLineChars="0"/>
              <w:jc w:val="center"/>
              <w:rPr>
                <w:rFonts w:ascii="Times New Roman"/>
                <w:color w:val="auto"/>
                <w:spacing w:val="0"/>
                <w:kern w:val="2"/>
                <w:szCs w:val="24"/>
                <w:highlight w:val="none"/>
              </w:rPr>
            </w:pPr>
          </w:p>
        </w:tc>
        <w:tc>
          <w:tcPr>
            <w:tcW w:w="1236" w:type="dxa"/>
            <w:vAlign w:val="center"/>
          </w:tcPr>
          <w:p>
            <w:pPr>
              <w:spacing w:line="240" w:lineRule="atLeast"/>
              <w:jc w:val="center"/>
              <w:rPr>
                <w:sz w:val="24"/>
                <w:szCs w:val="24"/>
                <w:highlight w:val="none"/>
                <w:lang w:val="en-US"/>
              </w:rPr>
            </w:pPr>
            <w:r>
              <w:rPr>
                <w:rFonts w:hint="eastAsia"/>
                <w:sz w:val="24"/>
                <w:szCs w:val="24"/>
                <w:highlight w:val="none"/>
                <w:lang w:val="en-US"/>
              </w:rPr>
              <w:t>9423.58</w:t>
            </w:r>
          </w:p>
        </w:tc>
        <w:tc>
          <w:tcPr>
            <w:tcW w:w="2460" w:type="dxa"/>
            <w:vAlign w:val="center"/>
          </w:tcPr>
          <w:p>
            <w:pPr>
              <w:spacing w:line="240" w:lineRule="atLeast"/>
              <w:jc w:val="center"/>
              <w:rPr>
                <w:sz w:val="24"/>
                <w:szCs w:val="24"/>
                <w:highlight w:val="none"/>
              </w:rPr>
            </w:pPr>
          </w:p>
        </w:tc>
      </w:tr>
    </w:tbl>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sz w:val="28"/>
          <w:szCs w:val="24"/>
        </w:rPr>
      </w:pPr>
      <w:r>
        <w:rPr>
          <w:b/>
          <w:sz w:val="28"/>
          <w:szCs w:val="24"/>
        </w:rPr>
        <w:t>治理工程投资概算表</w:t>
      </w:r>
    </w:p>
    <w:p>
      <w:pPr>
        <w:jc w:val="both"/>
        <w:rPr>
          <w:rFonts w:ascii="仿宋_GB2312" w:hAnsi="仿宋_GB2312" w:eastAsia="仿宋_GB2312" w:cs="仿宋_GB2312"/>
          <w:b/>
          <w:bCs/>
          <w:sz w:val="24"/>
          <w:szCs w:val="24"/>
          <w:lang w:val="en-US"/>
        </w:rPr>
      </w:pPr>
    </w:p>
    <w:p>
      <w:pPr>
        <w:jc w:val="both"/>
        <w:rPr>
          <w:rFonts w:ascii="仿宋_GB2312" w:hAnsi="仿宋_GB2312" w:eastAsia="仿宋_GB2312" w:cs="仿宋_GB2312"/>
          <w:b/>
          <w:bCs/>
          <w:sz w:val="24"/>
          <w:szCs w:val="24"/>
          <w:lang w:val="en-US"/>
        </w:rPr>
      </w:pP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二、矿山地质环境恢复治理技术方法</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警示牌</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在地质灾害隐患区设置2块警示牌。工程量共计2块。</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警示标志牌警示词：根据具体情况，警示词可分别用"地质灾害危险区，请注意安全"、"地质灾害危险区，禁止通行"或者"地质灾害危险区，请勿靠近"等。 </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警示标志牌统一采用反光膜材料；规格为长150cm×宽110cm×厚5cm；颜色为蓝底白字，正面印有“地质灾害危险区，请注意安全”字样，背面标明了地质灾害隐患点名称、位置、灾种类型、危险情况、应急措施、撤离路线、防灾联系人、联系电话等。警示标志牌应设置在对人民群众生命财产安全构成威胁的危险区的边界、路口等醒目位置上或距地质灾害危险点（区域）一定距离的范围的地方，设置数量因点而定。 今后新发生或者发现的地质灾害隐患点（区域），应及时补充设立警示标志；设置警示牌主要有基坑开挖、基坑回填、夯实等工程，具体施工措施如下：</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基坑开挖：基坑规格长3m，宽0.8m，深度0.5m，工程量为1.2m3；</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基坑回填：浆砌块石基础后对基坑进行回填，回填工程量为0.45m3；</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rFonts w:hint="eastAsia"/>
          <w:sz w:val="30"/>
          <w:szCs w:val="30"/>
          <w:lang w:val="en-US"/>
        </w:rPr>
        <w:t>夯实：基坑回填后对其进行夯实，夯实工程量为0.5m³；</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仿宋_GB2312"/>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仿宋_GB2312"/>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仿宋_GB2312"/>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仿宋_GB2312"/>
          <w:b/>
          <w:bCs/>
          <w:sz w:val="36"/>
          <w:szCs w:val="36"/>
        </w:rPr>
      </w:pPr>
      <w:r>
        <w:rPr>
          <w:rFonts w:hint="eastAsia" w:cs="仿宋_GB2312"/>
          <w:sz w:val="36"/>
          <w:szCs w:val="36"/>
          <w:lang w:val="en-US" w:bidi="ar-SA"/>
        </w:rPr>
        <w:drawing>
          <wp:anchor distT="0" distB="0" distL="114300" distR="114300" simplePos="0" relativeHeight="251662336" behindDoc="0" locked="0" layoutInCell="1" allowOverlap="1">
            <wp:simplePos x="0" y="0"/>
            <wp:positionH relativeFrom="column">
              <wp:posOffset>760095</wp:posOffset>
            </wp:positionH>
            <wp:positionV relativeFrom="page">
              <wp:posOffset>981075</wp:posOffset>
            </wp:positionV>
            <wp:extent cx="3848735" cy="2673350"/>
            <wp:effectExtent l="0" t="0" r="18415" b="12700"/>
            <wp:wrapTopAndBottom/>
            <wp:docPr id="4" name="图片 2" descr="4f29a8e4b72926d05ddcba472383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4f29a8e4b72926d05ddcba472383da8"/>
                    <pic:cNvPicPr>
                      <a:picLocks noChangeAspect="1"/>
                    </pic:cNvPicPr>
                  </pic:nvPicPr>
                  <pic:blipFill>
                    <a:blip r:embed="rId21"/>
                    <a:stretch>
                      <a:fillRect/>
                    </a:stretch>
                  </pic:blipFill>
                  <pic:spPr>
                    <a:xfrm>
                      <a:off x="0" y="0"/>
                      <a:ext cx="3848735" cy="26733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cs="仿宋_GB2312"/>
          <w:b/>
          <w:bCs/>
          <w:sz w:val="36"/>
          <w:szCs w:val="36"/>
        </w:rPr>
      </w:pPr>
      <w:bookmarkStart w:id="53" w:name="_Toc12060"/>
      <w:r>
        <w:rPr>
          <w:rFonts w:hint="eastAsia" w:cs="仿宋_GB2312"/>
          <w:b/>
          <w:bCs/>
          <w:sz w:val="36"/>
          <w:szCs w:val="36"/>
        </w:rPr>
        <w:t>第六章</w:t>
      </w:r>
      <w:r>
        <w:rPr>
          <w:rFonts w:hint="eastAsia" w:cs="仿宋_GB2312"/>
          <w:b/>
          <w:bCs/>
          <w:sz w:val="36"/>
          <w:szCs w:val="36"/>
          <w:lang w:val="en-US"/>
        </w:rPr>
        <w:t xml:space="preserve">  </w:t>
      </w:r>
      <w:r>
        <w:rPr>
          <w:rFonts w:hint="eastAsia" w:cs="仿宋_GB2312"/>
          <w:b/>
          <w:bCs/>
          <w:sz w:val="36"/>
          <w:szCs w:val="36"/>
        </w:rPr>
        <w:t>202</w:t>
      </w:r>
      <w:r>
        <w:rPr>
          <w:rFonts w:hint="eastAsia" w:cs="仿宋_GB2312"/>
          <w:b/>
          <w:bCs/>
          <w:sz w:val="36"/>
          <w:szCs w:val="36"/>
          <w:lang w:val="en-US"/>
        </w:rPr>
        <w:t>1</w:t>
      </w:r>
      <w:r>
        <w:rPr>
          <w:rFonts w:hint="eastAsia" w:cs="仿宋_GB2312"/>
          <w:b/>
          <w:bCs/>
          <w:sz w:val="36"/>
          <w:szCs w:val="36"/>
        </w:rPr>
        <w:t>年计提矿山地质环境治理基金情况</w:t>
      </w:r>
      <w:bookmarkEnd w:id="53"/>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lang w:val="en-US"/>
        </w:rPr>
      </w:pPr>
      <w:r>
        <w:rPr>
          <w:sz w:val="30"/>
          <w:szCs w:val="30"/>
          <w:lang w:val="en-US"/>
        </w:rPr>
        <w:t>龙贵煤矿采矿许可证证号： C1500002010041120061599;证载生产能力45万吨/年</w:t>
      </w:r>
      <w:r>
        <w:rPr>
          <w:rFonts w:hint="eastAsia"/>
          <w:sz w:val="30"/>
          <w:szCs w:val="30"/>
          <w:lang w:val="en-US"/>
        </w:rPr>
        <w:t>，</w:t>
      </w:r>
      <w:r>
        <w:rPr>
          <w:sz w:val="30"/>
          <w:szCs w:val="30"/>
          <w:lang w:val="en-US"/>
        </w:rPr>
        <w:t>釆用井工开采方式</w:t>
      </w:r>
      <w:r>
        <w:rPr>
          <w:rFonts w:hint="eastAsia"/>
          <w:sz w:val="30"/>
          <w:szCs w:val="30"/>
          <w:lang w:val="en-US"/>
        </w:rPr>
        <w:t>。因本矿目前处于整合、停产阶段。未进行开采活动。</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rPr>
      </w:pPr>
      <w:r>
        <w:rPr>
          <w:rFonts w:hint="eastAsia"/>
          <w:sz w:val="30"/>
          <w:szCs w:val="30"/>
        </w:rPr>
        <w:t>按照〈内蒙古自治区自然资源厅内蒙古自治区财政厅内蒙古自治区生态环境厅关于印发《内蒙古自治区矿山地质环境治理恢复基金管理办法（试行））的通知〉中基金计提计算方法。</w:t>
      </w:r>
    </w:p>
    <w:p>
      <w:pPr>
        <w:keepNext w:val="0"/>
        <w:keepLines w:val="0"/>
        <w:pageBreakBefore w:val="0"/>
        <w:widowControl w:val="0"/>
        <w:kinsoku/>
        <w:wordWrap/>
        <w:overflowPunct/>
        <w:topLinePunct w:val="0"/>
        <w:autoSpaceDE w:val="0"/>
        <w:autoSpaceDN w:val="0"/>
        <w:bidi w:val="0"/>
        <w:adjustRightInd/>
        <w:snapToGrid/>
        <w:spacing w:line="600" w:lineRule="exact"/>
        <w:ind w:firstLine="600" w:firstLineChars="200"/>
        <w:textAlignment w:val="auto"/>
        <w:rPr>
          <w:sz w:val="30"/>
          <w:szCs w:val="30"/>
        </w:rPr>
      </w:pPr>
      <w:r>
        <w:rPr>
          <w:rFonts w:hint="eastAsia"/>
          <w:sz w:val="30"/>
          <w:szCs w:val="30"/>
        </w:rPr>
        <w:t>年度基金提取额=矿类计提基数×露天开采影响系数（或地下开采影响系数）×土地复垦难度影响系数×地区影响系数×煤矿价格影响系数（开采矿种为煤的时候增加该系数）×上一年度生产矿石量。</w:t>
      </w:r>
    </w:p>
    <w:p>
      <w:pPr>
        <w:spacing w:line="600" w:lineRule="exact"/>
        <w:ind w:firstLine="594" w:firstLineChars="198"/>
        <w:rPr>
          <w:rFonts w:ascii="仿宋_GB2312" w:eastAsia="仿宋_GB2312"/>
          <w:color w:val="0000FF"/>
          <w:sz w:val="28"/>
          <w:szCs w:val="28"/>
          <w:lang w:val="en-US"/>
        </w:rPr>
      </w:pPr>
      <w:r>
        <w:rPr>
          <w:rFonts w:hint="eastAsia"/>
          <w:color w:val="0000FF"/>
          <w:sz w:val="30"/>
          <w:szCs w:val="30"/>
        </w:rPr>
        <w:t>因本矿目前处于整合、停产阶段。未进行开采活动。目前，本该矿已建立矿山地质环境治理恢复基金账户，存储基金6万元。</w:t>
      </w:r>
    </w:p>
    <w:sectPr>
      <w:footerReference r:id="rId5" w:type="default"/>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4"/>
                            </w:rPr>
                          </w:pPr>
                          <w:r>
                            <w:rPr>
                              <w:rStyle w:val="14"/>
                            </w:rPr>
                            <w:fldChar w:fldCharType="begin"/>
                          </w:r>
                          <w:r>
                            <w:rPr>
                              <w:rStyle w:val="14"/>
                            </w:rPr>
                            <w:instrText xml:space="preserve">PAGE  </w:instrText>
                          </w:r>
                          <w:r>
                            <w:rPr>
                              <w:rStyle w:val="14"/>
                            </w:rPr>
                            <w:fldChar w:fldCharType="separate"/>
                          </w:r>
                          <w:r>
                            <w:rPr>
                              <w:rStyle w:val="14"/>
                            </w:rPr>
                            <w:t>39</w:t>
                          </w:r>
                          <w:r>
                            <w:rPr>
                              <w:rStyle w:val="1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7"/>
                      <w:rPr>
                        <w:rStyle w:val="14"/>
                      </w:rPr>
                    </w:pPr>
                    <w:r>
                      <w:rPr>
                        <w:rStyle w:val="14"/>
                      </w:rPr>
                      <w:fldChar w:fldCharType="begin"/>
                    </w:r>
                    <w:r>
                      <w:rPr>
                        <w:rStyle w:val="14"/>
                      </w:rPr>
                      <w:instrText xml:space="preserve">PAGE  </w:instrText>
                    </w:r>
                    <w:r>
                      <w:rPr>
                        <w:rStyle w:val="14"/>
                      </w:rPr>
                      <w:fldChar w:fldCharType="separate"/>
                    </w:r>
                    <w:r>
                      <w:rPr>
                        <w:rStyle w:val="14"/>
                      </w:rPr>
                      <w:t>39</w:t>
                    </w:r>
                    <w:r>
                      <w:rPr>
                        <w:rStyle w:val="1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pPr>
    <w:r>
      <w:rPr>
        <w:rFonts w:hint="eastAsia"/>
      </w:rPr>
      <w:t>内蒙古乌海市万晨能源煤炭有限责任公司龙贵煤矿</w:t>
    </w:r>
    <w:r>
      <w:rPr>
        <w:rFonts w:hint="eastAsia"/>
        <w:lang w:val="en-US"/>
      </w:rPr>
      <w:t>2021</w:t>
    </w:r>
    <w:r>
      <w:rPr>
        <w:rFonts w:hint="eastAsia"/>
      </w:rPr>
      <w:t>年度矿山地质环境治理计划书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ABBD4B"/>
    <w:multiLevelType w:val="multilevel"/>
    <w:tmpl w:val="DAABBD4B"/>
    <w:lvl w:ilvl="0" w:tentative="0">
      <w:start w:val="1"/>
      <w:numFmt w:val="japaneseCounting"/>
      <w:lvlText w:val="%1、"/>
      <w:lvlJc w:val="left"/>
      <w:pPr>
        <w:tabs>
          <w:tab w:val="left" w:pos="1271"/>
        </w:tabs>
        <w:ind w:left="1271" w:hanging="720"/>
      </w:pPr>
      <w:rPr>
        <w:rFonts w:hint="default" w:ascii="Times New Roman" w:hAnsi="Times New Roman" w:cs="Times New Roman"/>
      </w:rPr>
    </w:lvl>
    <w:lvl w:ilvl="1" w:tentative="0">
      <w:start w:val="1"/>
      <w:numFmt w:val="decimal"/>
      <w:lvlText w:val="%2、"/>
      <w:lvlJc w:val="left"/>
      <w:pPr>
        <w:tabs>
          <w:tab w:val="left" w:pos="1691"/>
        </w:tabs>
        <w:ind w:left="1691" w:hanging="720"/>
      </w:pPr>
      <w:rPr>
        <w:rFonts w:hint="default" w:ascii="Times New Roman" w:hAnsi="Times New Roman" w:cs="Times New Roman"/>
      </w:rPr>
    </w:lvl>
    <w:lvl w:ilvl="2" w:tentative="0">
      <w:start w:val="1"/>
      <w:numFmt w:val="lowerRoman"/>
      <w:lvlText w:val="%3."/>
      <w:lvlJc w:val="right"/>
      <w:pPr>
        <w:tabs>
          <w:tab w:val="left" w:pos="1811"/>
        </w:tabs>
        <w:ind w:left="1811" w:hanging="420"/>
      </w:pPr>
      <w:rPr>
        <w:rFonts w:hint="default" w:ascii="Times New Roman" w:hAnsi="Times New Roman" w:cs="Times New Roman"/>
      </w:rPr>
    </w:lvl>
    <w:lvl w:ilvl="3" w:tentative="0">
      <w:start w:val="1"/>
      <w:numFmt w:val="decimal"/>
      <w:lvlText w:val="%4."/>
      <w:lvlJc w:val="left"/>
      <w:pPr>
        <w:tabs>
          <w:tab w:val="left" w:pos="2231"/>
        </w:tabs>
        <w:ind w:left="2231" w:hanging="420"/>
      </w:pPr>
      <w:rPr>
        <w:rFonts w:hint="default" w:ascii="Times New Roman" w:hAnsi="Times New Roman" w:cs="Times New Roman"/>
      </w:rPr>
    </w:lvl>
    <w:lvl w:ilvl="4" w:tentative="0">
      <w:start w:val="1"/>
      <w:numFmt w:val="lowerLetter"/>
      <w:lvlText w:val="%5)"/>
      <w:lvlJc w:val="left"/>
      <w:pPr>
        <w:tabs>
          <w:tab w:val="left" w:pos="2651"/>
        </w:tabs>
        <w:ind w:left="2651" w:hanging="420"/>
      </w:pPr>
      <w:rPr>
        <w:rFonts w:hint="default" w:ascii="Times New Roman" w:hAnsi="Times New Roman" w:cs="Times New Roman"/>
      </w:rPr>
    </w:lvl>
    <w:lvl w:ilvl="5" w:tentative="0">
      <w:start w:val="1"/>
      <w:numFmt w:val="lowerRoman"/>
      <w:lvlText w:val="%6."/>
      <w:lvlJc w:val="right"/>
      <w:pPr>
        <w:tabs>
          <w:tab w:val="left" w:pos="3071"/>
        </w:tabs>
        <w:ind w:left="3071" w:hanging="420"/>
      </w:pPr>
      <w:rPr>
        <w:rFonts w:hint="default" w:ascii="Times New Roman" w:hAnsi="Times New Roman" w:cs="Times New Roman"/>
      </w:rPr>
    </w:lvl>
    <w:lvl w:ilvl="6" w:tentative="0">
      <w:start w:val="1"/>
      <w:numFmt w:val="decimal"/>
      <w:lvlText w:val="%7."/>
      <w:lvlJc w:val="left"/>
      <w:pPr>
        <w:tabs>
          <w:tab w:val="left" w:pos="3491"/>
        </w:tabs>
        <w:ind w:left="3491" w:hanging="420"/>
      </w:pPr>
      <w:rPr>
        <w:rFonts w:hint="default" w:ascii="Times New Roman" w:hAnsi="Times New Roman" w:cs="Times New Roman"/>
      </w:rPr>
    </w:lvl>
    <w:lvl w:ilvl="7" w:tentative="0">
      <w:start w:val="1"/>
      <w:numFmt w:val="lowerLetter"/>
      <w:lvlText w:val="%8)"/>
      <w:lvlJc w:val="left"/>
      <w:pPr>
        <w:tabs>
          <w:tab w:val="left" w:pos="3911"/>
        </w:tabs>
        <w:ind w:left="3911" w:hanging="420"/>
      </w:pPr>
      <w:rPr>
        <w:rFonts w:hint="default" w:ascii="Times New Roman" w:hAnsi="Times New Roman" w:cs="Times New Roman"/>
      </w:rPr>
    </w:lvl>
    <w:lvl w:ilvl="8" w:tentative="0">
      <w:start w:val="1"/>
      <w:numFmt w:val="lowerRoman"/>
      <w:lvlText w:val="%9."/>
      <w:lvlJc w:val="right"/>
      <w:pPr>
        <w:tabs>
          <w:tab w:val="left" w:pos="4331"/>
        </w:tabs>
        <w:ind w:left="4331" w:hanging="420"/>
      </w:pPr>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8164F7"/>
    <w:rsid w:val="001A6F1D"/>
    <w:rsid w:val="00315A7F"/>
    <w:rsid w:val="00494077"/>
    <w:rsid w:val="004B54D9"/>
    <w:rsid w:val="0050473F"/>
    <w:rsid w:val="006D4543"/>
    <w:rsid w:val="007062F4"/>
    <w:rsid w:val="00993286"/>
    <w:rsid w:val="00C16F0B"/>
    <w:rsid w:val="014A5BA6"/>
    <w:rsid w:val="02E0233B"/>
    <w:rsid w:val="0AF42BDB"/>
    <w:rsid w:val="0C296F5A"/>
    <w:rsid w:val="0E45711A"/>
    <w:rsid w:val="1A7A54D5"/>
    <w:rsid w:val="1B287167"/>
    <w:rsid w:val="1C5B0F4B"/>
    <w:rsid w:val="1FC41FA2"/>
    <w:rsid w:val="2090643B"/>
    <w:rsid w:val="2209126F"/>
    <w:rsid w:val="257A7F34"/>
    <w:rsid w:val="304A7F21"/>
    <w:rsid w:val="331A3202"/>
    <w:rsid w:val="33744E10"/>
    <w:rsid w:val="38694334"/>
    <w:rsid w:val="398A6A3B"/>
    <w:rsid w:val="3A937FDF"/>
    <w:rsid w:val="3C9F5916"/>
    <w:rsid w:val="3F8D1AC7"/>
    <w:rsid w:val="434406AA"/>
    <w:rsid w:val="44AE455F"/>
    <w:rsid w:val="4B356D2C"/>
    <w:rsid w:val="4B6F73DD"/>
    <w:rsid w:val="517148DF"/>
    <w:rsid w:val="52867720"/>
    <w:rsid w:val="64E4106F"/>
    <w:rsid w:val="69571C02"/>
    <w:rsid w:val="6B0F40B0"/>
    <w:rsid w:val="6D4251FF"/>
    <w:rsid w:val="706264D9"/>
    <w:rsid w:val="708164F7"/>
    <w:rsid w:val="72393282"/>
    <w:rsid w:val="77A014C2"/>
    <w:rsid w:val="77CD4B82"/>
    <w:rsid w:val="7A3E1272"/>
    <w:rsid w:val="7CCB597F"/>
    <w:rsid w:val="7EE17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528" w:lineRule="exact"/>
      <w:jc w:val="center"/>
      <w:outlineLvl w:val="0"/>
    </w:pPr>
    <w:rPr>
      <w:rFonts w:ascii="微软雅黑" w:hAnsi="微软雅黑" w:eastAsia="微软雅黑" w:cs="微软雅黑"/>
      <w:b/>
      <w:bCs/>
      <w:sz w:val="32"/>
      <w:szCs w:val="32"/>
    </w:rPr>
  </w:style>
  <w:style w:type="paragraph" w:styleId="3">
    <w:name w:val="heading 2"/>
    <w:basedOn w:val="1"/>
    <w:next w:val="1"/>
    <w:qFormat/>
    <w:uiPriority w:val="0"/>
    <w:pPr>
      <w:keepNext/>
      <w:keepLines/>
      <w:spacing w:before="260" w:after="260" w:line="360" w:lineRule="auto"/>
      <w:outlineLvl w:val="1"/>
    </w:pPr>
    <w:rPr>
      <w:rFonts w:ascii="黑体" w:hAnsi="黑体" w:eastAsia="黑体"/>
      <w:color w:val="000000"/>
      <w:sz w:val="24"/>
      <w:szCs w:val="30"/>
    </w:rPr>
  </w:style>
  <w:style w:type="paragraph" w:styleId="4">
    <w:name w:val="heading 3"/>
    <w:basedOn w:val="1"/>
    <w:next w:val="1"/>
    <w:qFormat/>
    <w:uiPriority w:val="0"/>
    <w:pPr>
      <w:keepNext/>
      <w:keepLines/>
      <w:spacing w:before="260" w:after="260" w:line="416" w:lineRule="auto"/>
      <w:outlineLvl w:val="2"/>
    </w:pPr>
    <w:rPr>
      <w:b/>
      <w:bCs/>
      <w:sz w:val="2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napToGrid w:val="0"/>
      <w:spacing w:line="360" w:lineRule="auto"/>
      <w:ind w:firstLine="567"/>
      <w:jc w:val="both"/>
    </w:pPr>
    <w:rPr>
      <w:rFonts w:ascii="Times New Roman" w:hAnsi="Times New Roman" w:cs="Times New Roman"/>
      <w:kern w:val="2"/>
      <w:sz w:val="28"/>
      <w:szCs w:val="28"/>
      <w:lang w:val="en-US" w:bidi="ar-SA"/>
    </w:rPr>
  </w:style>
  <w:style w:type="paragraph" w:styleId="6">
    <w:name w:val="Body Text"/>
    <w:basedOn w:val="1"/>
    <w:qFormat/>
    <w:uiPriority w:val="1"/>
    <w:rPr>
      <w:sz w:val="32"/>
      <w:szCs w:val="32"/>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Body Text Indent 3"/>
    <w:basedOn w:val="1"/>
    <w:qFormat/>
    <w:uiPriority w:val="0"/>
    <w:pPr>
      <w:spacing w:line="360" w:lineRule="auto"/>
      <w:ind w:firstLine="480" w:firstLineChars="200"/>
    </w:pPr>
    <w:rPr>
      <w:sz w:val="24"/>
    </w:rPr>
  </w:style>
  <w:style w:type="paragraph" w:styleId="10">
    <w:name w:val="Normal (Web)"/>
    <w:basedOn w:val="1"/>
    <w:qFormat/>
    <w:uiPriority w:val="0"/>
    <w:rPr>
      <w:sz w:val="24"/>
    </w:rPr>
  </w:style>
  <w:style w:type="table" w:styleId="12">
    <w:name w:val="Table Grid"/>
    <w:basedOn w:val="11"/>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样式3"/>
    <w:basedOn w:val="16"/>
    <w:qFormat/>
    <w:uiPriority w:val="0"/>
    <w:pPr>
      <w:spacing w:line="760" w:lineRule="exact"/>
      <w:ind w:firstLine="200" w:firstLineChars="200"/>
      <w:jc w:val="left"/>
    </w:pPr>
    <w:rPr>
      <w:rFonts w:ascii="Times New Roman" w:hAnsi="Times New Roman"/>
      <w:sz w:val="28"/>
      <w:u w:val="none"/>
    </w:rPr>
  </w:style>
  <w:style w:type="paragraph" w:customStyle="1" w:styleId="16">
    <w:name w:val="样式1"/>
    <w:basedOn w:val="1"/>
    <w:qFormat/>
    <w:uiPriority w:val="0"/>
    <w:pPr>
      <w:jc w:val="center"/>
    </w:pPr>
    <w:rPr>
      <w:u w:val="single"/>
    </w:rPr>
  </w:style>
  <w:style w:type="paragraph" w:customStyle="1" w:styleId="17">
    <w:name w:val="表头"/>
    <w:basedOn w:val="16"/>
    <w:qFormat/>
    <w:uiPriority w:val="0"/>
    <w:pPr>
      <w:spacing w:before="150" w:beforeLines="150"/>
    </w:pPr>
    <w:rPr>
      <w:rFonts w:ascii="Times New Roman" w:hAnsi="Times New Roman" w:eastAsia="黑体"/>
      <w:spacing w:val="40"/>
      <w:sz w:val="30"/>
      <w:u w:val="none"/>
    </w:rPr>
  </w:style>
  <w:style w:type="paragraph" w:customStyle="1" w:styleId="18">
    <w:name w:val="表头1"/>
    <w:basedOn w:val="16"/>
    <w:qFormat/>
    <w:uiPriority w:val="0"/>
    <w:pPr>
      <w:jc w:val="left"/>
    </w:pPr>
    <w:rPr>
      <w:rFonts w:ascii="Times New Roman" w:hAnsi="Times New Roman"/>
      <w:u w:val="none"/>
    </w:rPr>
  </w:style>
  <w:style w:type="paragraph" w:customStyle="1" w:styleId="19">
    <w:name w:val="表文字"/>
    <w:basedOn w:val="16"/>
    <w:qFormat/>
    <w:uiPriority w:val="0"/>
    <w:pPr>
      <w:spacing w:line="240" w:lineRule="exact"/>
    </w:pPr>
    <w:rPr>
      <w:rFonts w:ascii="Times New Roman" w:hAnsi="Times New Roman"/>
      <w:sz w:val="24"/>
      <w:u w:val="none"/>
    </w:rPr>
  </w:style>
  <w:style w:type="paragraph" w:customStyle="1" w:styleId="20">
    <w:name w:val="_正文格式"/>
    <w:basedOn w:val="1"/>
    <w:qFormat/>
    <w:uiPriority w:val="0"/>
    <w:pPr>
      <w:spacing w:line="560" w:lineRule="exact"/>
      <w:ind w:firstLine="200" w:firstLineChars="200"/>
    </w:pPr>
    <w:rPr>
      <w:rFonts w:eastAsia="仿宋_GB2312"/>
      <w:sz w:val="28"/>
    </w:rPr>
  </w:style>
  <w:style w:type="character" w:customStyle="1" w:styleId="21">
    <w:name w:val="10"/>
    <w:basedOn w:val="13"/>
    <w:qFormat/>
    <w:uiPriority w:val="0"/>
    <w:rPr>
      <w:rFonts w:hint="default" w:ascii="Times New Roman" w:hAnsi="Times New Roman" w:cs="Times New Roman"/>
    </w:rPr>
  </w:style>
  <w:style w:type="character" w:customStyle="1" w:styleId="22">
    <w:name w:val="15"/>
    <w:basedOn w:val="13"/>
    <w:qFormat/>
    <w:uiPriority w:val="0"/>
    <w:rPr>
      <w:rFonts w:hint="default" w:ascii="Times New Roman" w:hAnsi="Times New Roman" w:cs="Times New Roman"/>
    </w:rPr>
  </w:style>
  <w:style w:type="paragraph" w:customStyle="1" w:styleId="23">
    <w:name w:val="xl44"/>
    <w:basedOn w:val="1"/>
    <w:qFormat/>
    <w:uiPriority w:val="0"/>
    <w:pPr>
      <w:widowControl/>
      <w:spacing w:beforeAutospacing="1" w:afterAutospacing="1"/>
      <w:jc w:val="center"/>
      <w:textAlignment w:val="center"/>
    </w:pPr>
    <w:rPr>
      <w:rFonts w:ascii="Times New Roman" w:hAnsi="Times New Roman" w:cs="Times New Roman"/>
      <w:sz w:val="24"/>
      <w:szCs w:val="24"/>
      <w:lang w:val="en-US" w:bidi="ar-SA"/>
    </w:rPr>
  </w:style>
  <w:style w:type="paragraph" w:customStyle="1" w:styleId="24">
    <w:name w:val="表格"/>
    <w:basedOn w:val="1"/>
    <w:qFormat/>
    <w:uiPriority w:val="0"/>
    <w:pPr>
      <w:adjustRightInd w:val="0"/>
      <w:spacing w:line="320" w:lineRule="exact"/>
      <w:ind w:firstLine="200" w:firstLineChars="200"/>
    </w:pPr>
    <w:rPr>
      <w:color w:val="000000"/>
      <w:spacing w:val="-20"/>
      <w:sz w:val="24"/>
      <w:szCs w:val="20"/>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2408</Words>
  <Characters>13728</Characters>
  <Lines>114</Lines>
  <Paragraphs>32</Paragraphs>
  <TotalTime>23</TotalTime>
  <ScaleCrop>false</ScaleCrop>
  <LinksUpToDate>false</LinksUpToDate>
  <CharactersWithSpaces>16104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2021-04-17T08:21:00Z</dcterms:created>
  <dc:creator>Administrator</dc:creator>
  <cp:lastModifiedBy>英思快印冯超</cp:lastModifiedBy>
  <dcterms:modified xsi:type="dcterms:W3CDTF">2021-04-27T03:03:58Z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A105A350AACD41C8A1B292A7CE3D8DCA</vt:lpwstr>
  </property>
</Properties>
</file>